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141387907"/>
        <w:docPartObj>
          <w:docPartGallery w:val="Cover Pages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p w:rsidR="00E617AB" w:rsidRDefault="00E617AB"/>
        <w:p w:rsidR="00E617AB" w:rsidRDefault="00E617AB"/>
        <w:p w:rsidR="00E617AB" w:rsidRDefault="00E617AB" w:rsidP="00E617AB"/>
        <w:p w:rsidR="00E617AB" w:rsidRPr="00D8234C" w:rsidRDefault="00E617AB" w:rsidP="00E617AB"/>
        <w:sdt>
          <w:sdtPr>
            <w:id w:val="1977955031"/>
            <w:docPartObj>
              <w:docPartGallery w:val="Cover Pages"/>
              <w:docPartUnique/>
            </w:docPartObj>
          </w:sdtPr>
          <w:sdtEndPr/>
          <w:sdtContent>
            <w:p w:rsidR="00E617AB" w:rsidRPr="007973B4" w:rsidRDefault="00E617AB" w:rsidP="00E617AB">
              <w:pPr>
                <w:ind w:left="2160" w:firstLine="720"/>
                <w:rPr>
                  <w:lang w:val="sr-Cyrl-RS"/>
                </w:rPr>
              </w:pPr>
              <w:r w:rsidRPr="00B21E85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>РЕПУБЛИКА СРБИЈА</w:t>
              </w:r>
            </w:p>
            <w:p w:rsidR="00E617AB" w:rsidRPr="00B21E85" w:rsidRDefault="00E617AB" w:rsidP="00E617AB">
              <w:pPr>
                <w:spacing w:before="100" w:beforeAutospacing="1" w:after="100" w:afterAutospacing="1" w:line="240" w:lineRule="auto"/>
                <w:ind w:left="2160" w:firstLine="720"/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</w:pPr>
              <w:r w:rsidRPr="00B21E85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>НАРОДНА СКУПШТИНА</w:t>
              </w:r>
            </w:p>
            <w:p w:rsidR="00E617AB" w:rsidRPr="00B21E85" w:rsidRDefault="00E617AB" w:rsidP="00E617AB">
              <w:pPr>
                <w:spacing w:before="100" w:beforeAutospacing="1" w:after="100" w:afterAutospacing="1" w:line="240" w:lineRule="auto"/>
                <w:jc w:val="center"/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</w:pPr>
              <w:r w:rsidRPr="00B21E85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>БИБЛИОТЕКА НАРОДНЕ СКУПШТИНЕ</w:t>
              </w:r>
            </w:p>
            <w:p w:rsidR="00E617AB" w:rsidRPr="00336D0D" w:rsidRDefault="00E617AB" w:rsidP="00E617AB">
              <w:pPr>
                <w:tabs>
                  <w:tab w:val="left" w:pos="567"/>
                </w:tabs>
                <w:spacing w:line="360" w:lineRule="auto"/>
                <w:rPr>
                  <w:rFonts w:ascii="Arial" w:hAnsi="Arial" w:cs="Arial"/>
                  <w:sz w:val="20"/>
                  <w:szCs w:val="20"/>
                  <w:lang w:val="pl-PL"/>
                </w:rPr>
              </w:pPr>
            </w:p>
            <w:p w:rsidR="00E617AB" w:rsidRPr="00AE054C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</w:pPr>
            </w:p>
            <w:p w:rsidR="00E617AB" w:rsidRPr="00AE054C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</w:pPr>
            </w:p>
            <w:p w:rsidR="00E617AB" w:rsidRPr="00AE054C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</w:pPr>
            </w:p>
            <w:p w:rsidR="00E617AB" w:rsidRPr="00E617AB" w:rsidRDefault="00E617AB" w:rsidP="00E617AB">
              <w:pPr>
                <w:keepNext/>
                <w:spacing w:after="0" w:line="240" w:lineRule="auto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</w:pPr>
              <w:r w:rsidRPr="00B21E85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Тема: 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 </w:t>
              </w:r>
              <w:r w:rsidR="00065FB6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>Пољопривредна производња</w:t>
              </w:r>
              <w:r w:rsidRPr="00E617A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 xml:space="preserve"> у Србији</w:t>
              </w:r>
              <w:r w:rsidR="00065FB6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 xml:space="preserve"> (2013-2014)</w:t>
              </w:r>
            </w:p>
            <w:p w:rsidR="00E617AB" w:rsidRPr="00B21E85" w:rsidRDefault="00E617AB" w:rsidP="00E617AB">
              <w:pPr>
                <w:keepNext/>
                <w:spacing w:after="0" w:line="240" w:lineRule="auto"/>
                <w:ind w:left="1560" w:hanging="1560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Default="00E617AB" w:rsidP="00E617A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Default="00E617AB" w:rsidP="00E617A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B21E85" w:rsidRDefault="00E617AB" w:rsidP="00E617A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Датум:  </w:t>
              </w:r>
              <w:r w:rsidRPr="00E617A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  <w:t>06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.0</w:t>
              </w:r>
              <w:r w:rsidRPr="00E617AB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  <w:t>7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.2015.  </w:t>
              </w:r>
            </w:p>
            <w:p w:rsidR="00E617AB" w:rsidRPr="00B21E85" w:rsidRDefault="00E617AB" w:rsidP="00E617A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B21E85" w:rsidRDefault="00E617AB" w:rsidP="00E617A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Бр.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  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0</w:t>
              </w:r>
              <w:r w:rsidR="00A65122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eastAsia="ja-JP"/>
                </w:rPr>
                <w:t>5</w:t>
              </w:r>
              <w:bookmarkStart w:id="0" w:name="_GoBack"/>
              <w:bookmarkEnd w:id="0"/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/2015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     </w:t>
              </w:r>
            </w:p>
            <w:p w:rsidR="00E617AB" w:rsidRPr="00B21E85" w:rsidRDefault="00E617AB" w:rsidP="00E617A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B21E85" w:rsidRDefault="00E617AB" w:rsidP="00E617A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B21E85" w:rsidRDefault="00E617AB" w:rsidP="00E617AB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B21E85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B21E85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152FCB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257E3D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AC3D04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B21E85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B21E85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B21E85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E617AB" w:rsidRPr="00B21E85" w:rsidRDefault="00E617AB" w:rsidP="00E617AB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lang w:val="sr-Cyrl-RS" w:eastAsia="ja-JP"/>
                </w:rPr>
              </w:pP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Ово истраживање је урадила Библиотека Народне скупштине за потребе рада народних посланика и Службе Народне скупштине. За више информација молимо да нас контактирате путем телефона 3026-532 и електронске поште </w:t>
              </w:r>
              <w:hyperlink r:id="rId9" w:history="1">
                <w:r w:rsidRPr="00B21E85">
                  <w:rPr>
                    <w:rFonts w:ascii="Arial" w:eastAsia="MS Mincho" w:hAnsi="Arial" w:cs="Arial"/>
                    <w:b/>
                    <w:bCs/>
                    <w:i/>
                    <w:iCs/>
                    <w:color w:val="0000FF"/>
                    <w:u w:val="single"/>
                    <w:lang w:val="sr-Cyrl-RS" w:eastAsia="ja-JP"/>
                  </w:rPr>
                  <w:t>istrazivanja@parlament.rs</w:t>
                </w:r>
                <w:r w:rsidRPr="00B21E85">
                  <w:rPr>
                    <w:rFonts w:ascii="Arial" w:eastAsia="MS Mincho" w:hAnsi="Arial" w:cs="Arial"/>
                    <w:b/>
                    <w:bCs/>
                    <w:iCs/>
                    <w:color w:val="0000FF"/>
                    <w:u w:val="single"/>
                    <w:lang w:val="sr-Cyrl-RS" w:eastAsia="ja-JP"/>
                  </w:rPr>
                  <w:t>.</w:t>
                </w:r>
              </w:hyperlink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Истраживања којa припрема Библиотека Народне 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скупштине не одражавају званични став Народне скупштине Републике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Србије. </w:t>
              </w:r>
            </w:p>
            <w:p w:rsidR="00E617AB" w:rsidRDefault="004C2767" w:rsidP="00E617AB"/>
          </w:sdtContent>
        </w:sdt>
        <w:p w:rsidR="00E617AB" w:rsidRDefault="00E617AB" w:rsidP="00E617AB">
          <w:pPr>
            <w:rPr>
              <w:rStyle w:val="hps"/>
              <w:rFonts w:ascii="Arial" w:hAnsi="Arial" w:cs="Arial"/>
              <w:sz w:val="20"/>
              <w:szCs w:val="20"/>
            </w:rPr>
          </w:pPr>
        </w:p>
        <w:p w:rsidR="00E617AB" w:rsidRDefault="00E617AB" w:rsidP="00E617AB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lastRenderedPageBreak/>
            <w:t xml:space="preserve"> </w:t>
          </w:r>
        </w:p>
      </w:sdtContent>
    </w:sdt>
    <w:p w:rsidR="008D4F37" w:rsidRPr="00E617AB" w:rsidRDefault="008D4F37" w:rsidP="00E617AB">
      <w:pPr>
        <w:rPr>
          <w:rFonts w:ascii="Arial" w:hAnsi="Arial" w:cs="Arial"/>
          <w:sz w:val="20"/>
          <w:szCs w:val="20"/>
        </w:rPr>
      </w:pPr>
      <w:r w:rsidRPr="00684DAF">
        <w:rPr>
          <w:rFonts w:ascii="Arial" w:hAnsi="Arial" w:cs="Arial"/>
          <w:b/>
          <w:bCs/>
          <w:sz w:val="20"/>
          <w:szCs w:val="20"/>
        </w:rPr>
        <w:t>САДРЖАЈ</w:t>
      </w:r>
    </w:p>
    <w:p w:rsidR="00C02BD9" w:rsidRPr="00E21BA0" w:rsidRDefault="00C02BD9" w:rsidP="008D4F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E21BA0">
        <w:rPr>
          <w:rFonts w:ascii="Arial" w:hAnsi="Arial" w:cs="Arial"/>
          <w:b/>
          <w:bCs/>
          <w:sz w:val="20"/>
          <w:szCs w:val="20"/>
          <w:lang w:val="sr-Cyrl-RS"/>
        </w:rPr>
        <w:t>Табеларни приказ</w:t>
      </w:r>
      <w:r w:rsidR="00E21BA0" w:rsidRPr="00E21BA0">
        <w:rPr>
          <w:rFonts w:ascii="Arial" w:hAnsi="Arial" w:cs="Arial"/>
          <w:b/>
          <w:bCs/>
          <w:sz w:val="20"/>
          <w:szCs w:val="20"/>
          <w:lang w:val="sr-Cyrl-RS"/>
        </w:rPr>
        <w:t>и</w:t>
      </w:r>
    </w:p>
    <w:p w:rsidR="00783630" w:rsidRDefault="00783630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TOC \o "1-1" \h \z \u </w:instrText>
      </w:r>
      <w:r>
        <w:rPr>
          <w:rFonts w:cs="Arial"/>
          <w:b/>
          <w:szCs w:val="20"/>
        </w:rPr>
        <w:fldChar w:fldCharType="separate"/>
      </w:r>
      <w:hyperlink w:anchor="_Toc425513118" w:history="1">
        <w:r w:rsidRPr="004312DF">
          <w:rPr>
            <w:rStyle w:val="Hyperlink"/>
            <w:rFonts w:eastAsia="Times New Roman"/>
            <w:b/>
            <w:noProof/>
            <w:lang w:val="sr-Cyrl-RS"/>
          </w:rPr>
          <w:t>Табела1</w:t>
        </w:r>
        <w:r w:rsidRPr="004312DF">
          <w:rPr>
            <w:rStyle w:val="Hyperlink"/>
            <w:rFonts w:eastAsia="Times New Roman"/>
            <w:noProof/>
            <w:lang w:val="sr-Cyrl-RS"/>
          </w:rPr>
          <w:t>.</w:t>
        </w:r>
        <w:r w:rsidRPr="004312DF">
          <w:rPr>
            <w:rStyle w:val="Hyperlink"/>
            <w:noProof/>
            <w:lang w:val="sr-Cyrl-RS"/>
          </w:rPr>
          <w:t xml:space="preserve"> Коришћено пољопривредно земљиште у Републици Србији по категоријама у хектарима, 2014/2013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_Toc425513118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83630" w:rsidRDefault="004C2767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3119" w:history="1">
        <w:r w:rsidR="00783630" w:rsidRPr="004312DF">
          <w:rPr>
            <w:rStyle w:val="Hyperlink"/>
            <w:rFonts w:eastAsia="Times New Roman"/>
            <w:b/>
            <w:noProof/>
            <w:lang w:val="sr-Cyrl-RS"/>
          </w:rPr>
          <w:t>Табела 2</w:t>
        </w:r>
        <w:r w:rsidR="00783630" w:rsidRPr="004312DF">
          <w:rPr>
            <w:rStyle w:val="Hyperlink"/>
            <w:rFonts w:eastAsia="Times New Roman"/>
            <w:noProof/>
            <w:lang w:val="sr-Cyrl-RS"/>
          </w:rPr>
          <w:t>. Индекси пољопривредне производње</w:t>
        </w:r>
        <w:r w:rsidR="00783630" w:rsidRPr="004312DF">
          <w:rPr>
            <w:rStyle w:val="Hyperlink"/>
            <w:rFonts w:eastAsia="Times New Roman"/>
            <w:noProof/>
          </w:rPr>
          <w:t>, 2014/2013</w:t>
        </w:r>
        <w:r w:rsidR="00783630">
          <w:rPr>
            <w:noProof/>
            <w:webHidden/>
          </w:rPr>
          <w:tab/>
        </w:r>
        <w:r w:rsidR="00783630">
          <w:rPr>
            <w:noProof/>
            <w:webHidden/>
          </w:rPr>
          <w:fldChar w:fldCharType="begin"/>
        </w:r>
        <w:r w:rsidR="00783630">
          <w:rPr>
            <w:noProof/>
            <w:webHidden/>
          </w:rPr>
          <w:instrText xml:space="preserve"> PAGEREF _Toc425513119 \h </w:instrText>
        </w:r>
        <w:r w:rsidR="00783630">
          <w:rPr>
            <w:noProof/>
            <w:webHidden/>
          </w:rPr>
        </w:r>
        <w:r w:rsidR="00783630">
          <w:rPr>
            <w:noProof/>
            <w:webHidden/>
          </w:rPr>
          <w:fldChar w:fldCharType="separate"/>
        </w:r>
        <w:r w:rsidR="00783630">
          <w:rPr>
            <w:noProof/>
            <w:webHidden/>
          </w:rPr>
          <w:t>3</w:t>
        </w:r>
        <w:r w:rsidR="00783630">
          <w:rPr>
            <w:noProof/>
            <w:webHidden/>
          </w:rPr>
          <w:fldChar w:fldCharType="end"/>
        </w:r>
      </w:hyperlink>
    </w:p>
    <w:p w:rsidR="00783630" w:rsidRDefault="004C2767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3120" w:history="1">
        <w:r w:rsidR="00783630" w:rsidRPr="004312DF">
          <w:rPr>
            <w:rStyle w:val="Hyperlink"/>
            <w:rFonts w:eastAsia="Times New Roman"/>
            <w:b/>
            <w:noProof/>
            <w:lang w:val="sr-Cyrl-RS"/>
          </w:rPr>
          <w:t>Табела 3.</w:t>
        </w:r>
        <w:r w:rsidR="00783630" w:rsidRPr="004312DF">
          <w:rPr>
            <w:rStyle w:val="Hyperlink"/>
            <w:rFonts w:eastAsia="Times New Roman"/>
            <w:noProof/>
            <w:lang w:val="sr-Cyrl-RS"/>
          </w:rPr>
          <w:t> Пољопривредна производња, лов и пратеће услужне делатности по годинама, текуће цене, у милионима РСД</w:t>
        </w:r>
        <w:r w:rsidR="00783630">
          <w:rPr>
            <w:noProof/>
            <w:webHidden/>
          </w:rPr>
          <w:tab/>
        </w:r>
        <w:r w:rsidR="00783630">
          <w:rPr>
            <w:noProof/>
            <w:webHidden/>
          </w:rPr>
          <w:fldChar w:fldCharType="begin"/>
        </w:r>
        <w:r w:rsidR="00783630">
          <w:rPr>
            <w:noProof/>
            <w:webHidden/>
          </w:rPr>
          <w:instrText xml:space="preserve"> PAGEREF _Toc425513120 \h </w:instrText>
        </w:r>
        <w:r w:rsidR="00783630">
          <w:rPr>
            <w:noProof/>
            <w:webHidden/>
          </w:rPr>
        </w:r>
        <w:r w:rsidR="00783630">
          <w:rPr>
            <w:noProof/>
            <w:webHidden/>
          </w:rPr>
          <w:fldChar w:fldCharType="separate"/>
        </w:r>
        <w:r w:rsidR="00783630">
          <w:rPr>
            <w:noProof/>
            <w:webHidden/>
          </w:rPr>
          <w:t>4</w:t>
        </w:r>
        <w:r w:rsidR="00783630">
          <w:rPr>
            <w:noProof/>
            <w:webHidden/>
          </w:rPr>
          <w:fldChar w:fldCharType="end"/>
        </w:r>
      </w:hyperlink>
    </w:p>
    <w:p w:rsidR="00783630" w:rsidRDefault="004C2767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3121" w:history="1">
        <w:r w:rsidR="00783630" w:rsidRPr="004312DF">
          <w:rPr>
            <w:rStyle w:val="Hyperlink"/>
            <w:b/>
            <w:noProof/>
            <w:lang w:val="sr-Cyrl-RS"/>
          </w:rPr>
          <w:t xml:space="preserve">Табела 4. </w:t>
        </w:r>
        <w:r w:rsidR="00783630" w:rsidRPr="004312DF">
          <w:rPr>
            <w:rStyle w:val="Hyperlink"/>
            <w:noProof/>
            <w:lang w:val="sr-Cyrl-RS"/>
          </w:rPr>
          <w:t>Производња меда по годинамa у хиљадама тона - индекси</w:t>
        </w:r>
        <w:r w:rsidR="00783630">
          <w:rPr>
            <w:noProof/>
            <w:webHidden/>
          </w:rPr>
          <w:tab/>
        </w:r>
        <w:r w:rsidR="00783630">
          <w:rPr>
            <w:noProof/>
            <w:webHidden/>
          </w:rPr>
          <w:fldChar w:fldCharType="begin"/>
        </w:r>
        <w:r w:rsidR="00783630">
          <w:rPr>
            <w:noProof/>
            <w:webHidden/>
          </w:rPr>
          <w:instrText xml:space="preserve"> PAGEREF _Toc425513121 \h </w:instrText>
        </w:r>
        <w:r w:rsidR="00783630">
          <w:rPr>
            <w:noProof/>
            <w:webHidden/>
          </w:rPr>
        </w:r>
        <w:r w:rsidR="00783630">
          <w:rPr>
            <w:noProof/>
            <w:webHidden/>
          </w:rPr>
          <w:fldChar w:fldCharType="separate"/>
        </w:r>
        <w:r w:rsidR="00783630">
          <w:rPr>
            <w:noProof/>
            <w:webHidden/>
          </w:rPr>
          <w:t>5</w:t>
        </w:r>
        <w:r w:rsidR="00783630">
          <w:rPr>
            <w:noProof/>
            <w:webHidden/>
          </w:rPr>
          <w:fldChar w:fldCharType="end"/>
        </w:r>
      </w:hyperlink>
    </w:p>
    <w:p w:rsidR="00783630" w:rsidRDefault="004C2767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3122" w:history="1">
        <w:r w:rsidR="00783630" w:rsidRPr="004312DF">
          <w:rPr>
            <w:rStyle w:val="Hyperlink"/>
            <w:b/>
            <w:noProof/>
            <w:lang w:val="sr-Cyrl-RS"/>
          </w:rPr>
          <w:t xml:space="preserve">Табела 5. </w:t>
        </w:r>
        <w:r w:rsidR="00783630" w:rsidRPr="004312DF">
          <w:rPr>
            <w:rStyle w:val="Hyperlink"/>
            <w:rFonts w:eastAsia="Times New Roman"/>
            <w:noProof/>
            <w:lang w:val="sr-Cyrl-RS"/>
          </w:rPr>
          <w:t>Пожњевене површине (у хектарима) -  индекси  2013-2014.</w:t>
        </w:r>
        <w:r w:rsidR="00783630">
          <w:rPr>
            <w:noProof/>
            <w:webHidden/>
          </w:rPr>
          <w:tab/>
        </w:r>
        <w:r w:rsidR="00783630">
          <w:rPr>
            <w:noProof/>
            <w:webHidden/>
          </w:rPr>
          <w:fldChar w:fldCharType="begin"/>
        </w:r>
        <w:r w:rsidR="00783630">
          <w:rPr>
            <w:noProof/>
            <w:webHidden/>
          </w:rPr>
          <w:instrText xml:space="preserve"> PAGEREF _Toc425513122 \h </w:instrText>
        </w:r>
        <w:r w:rsidR="00783630">
          <w:rPr>
            <w:noProof/>
            <w:webHidden/>
          </w:rPr>
        </w:r>
        <w:r w:rsidR="00783630">
          <w:rPr>
            <w:noProof/>
            <w:webHidden/>
          </w:rPr>
          <w:fldChar w:fldCharType="separate"/>
        </w:r>
        <w:r w:rsidR="00783630">
          <w:rPr>
            <w:noProof/>
            <w:webHidden/>
          </w:rPr>
          <w:t>5</w:t>
        </w:r>
        <w:r w:rsidR="00783630">
          <w:rPr>
            <w:noProof/>
            <w:webHidden/>
          </w:rPr>
          <w:fldChar w:fldCharType="end"/>
        </w:r>
      </w:hyperlink>
    </w:p>
    <w:p w:rsidR="00783630" w:rsidRDefault="004C2767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3123" w:history="1">
        <w:r w:rsidR="00783630" w:rsidRPr="004312DF">
          <w:rPr>
            <w:rStyle w:val="Hyperlink"/>
            <w:b/>
            <w:noProof/>
            <w:lang w:val="sr-Cyrl-RS"/>
          </w:rPr>
          <w:t xml:space="preserve">Табела 6. </w:t>
        </w:r>
        <w:r w:rsidR="00783630" w:rsidRPr="004312DF">
          <w:rPr>
            <w:rStyle w:val="Hyperlink"/>
            <w:noProof/>
            <w:lang w:val="sr-Cyrl-RS"/>
          </w:rPr>
          <w:t>Извоз и увоз пољопривредних и прехрамбених производа у РС, 2014. година</w:t>
        </w:r>
        <w:r w:rsidR="00783630">
          <w:rPr>
            <w:noProof/>
            <w:webHidden/>
          </w:rPr>
          <w:tab/>
        </w:r>
        <w:r w:rsidR="00783630">
          <w:rPr>
            <w:noProof/>
            <w:webHidden/>
          </w:rPr>
          <w:fldChar w:fldCharType="begin"/>
        </w:r>
        <w:r w:rsidR="00783630">
          <w:rPr>
            <w:noProof/>
            <w:webHidden/>
          </w:rPr>
          <w:instrText xml:space="preserve"> PAGEREF _Toc425513123 \h </w:instrText>
        </w:r>
        <w:r w:rsidR="00783630">
          <w:rPr>
            <w:noProof/>
            <w:webHidden/>
          </w:rPr>
        </w:r>
        <w:r w:rsidR="00783630">
          <w:rPr>
            <w:noProof/>
            <w:webHidden/>
          </w:rPr>
          <w:fldChar w:fldCharType="separate"/>
        </w:r>
        <w:r w:rsidR="00783630">
          <w:rPr>
            <w:noProof/>
            <w:webHidden/>
          </w:rPr>
          <w:t>6</w:t>
        </w:r>
        <w:r w:rsidR="00783630">
          <w:rPr>
            <w:noProof/>
            <w:webHidden/>
          </w:rPr>
          <w:fldChar w:fldCharType="end"/>
        </w:r>
      </w:hyperlink>
    </w:p>
    <w:p w:rsidR="00783630" w:rsidRDefault="004C2767">
      <w:pPr>
        <w:pStyle w:val="TOC1"/>
        <w:tabs>
          <w:tab w:val="right" w:leader="dot" w:pos="9017"/>
        </w:tabs>
        <w:rPr>
          <w:rFonts w:asciiTheme="minorHAnsi" w:eastAsiaTheme="minorEastAsia" w:hAnsiTheme="minorHAnsi"/>
          <w:noProof/>
          <w:sz w:val="22"/>
          <w:lang w:bidi="gu-IN"/>
        </w:rPr>
      </w:pPr>
      <w:hyperlink w:anchor="_Toc425513124" w:history="1">
        <w:r w:rsidR="00783630" w:rsidRPr="004312DF">
          <w:rPr>
            <w:rStyle w:val="Hyperlink"/>
            <w:b/>
            <w:noProof/>
            <w:lang w:val="sr-Cyrl-RS"/>
          </w:rPr>
          <w:t>Табела 7</w:t>
        </w:r>
        <w:r w:rsidR="00783630" w:rsidRPr="004312DF">
          <w:rPr>
            <w:rStyle w:val="Hyperlink"/>
            <w:noProof/>
            <w:lang w:val="sr-Cyrl-RS"/>
          </w:rPr>
          <w:t>. Увоз и извоз воћа и поврћа у Србији, вредност у хиљадама евра</w:t>
        </w:r>
        <w:r w:rsidR="00783630">
          <w:rPr>
            <w:noProof/>
            <w:webHidden/>
          </w:rPr>
          <w:tab/>
        </w:r>
        <w:r w:rsidR="00783630">
          <w:rPr>
            <w:noProof/>
            <w:webHidden/>
          </w:rPr>
          <w:fldChar w:fldCharType="begin"/>
        </w:r>
        <w:r w:rsidR="00783630">
          <w:rPr>
            <w:noProof/>
            <w:webHidden/>
          </w:rPr>
          <w:instrText xml:space="preserve"> PAGEREF _Toc425513124 \h </w:instrText>
        </w:r>
        <w:r w:rsidR="00783630">
          <w:rPr>
            <w:noProof/>
            <w:webHidden/>
          </w:rPr>
        </w:r>
        <w:r w:rsidR="00783630">
          <w:rPr>
            <w:noProof/>
            <w:webHidden/>
          </w:rPr>
          <w:fldChar w:fldCharType="separate"/>
        </w:r>
        <w:r w:rsidR="00783630">
          <w:rPr>
            <w:noProof/>
            <w:webHidden/>
          </w:rPr>
          <w:t>7</w:t>
        </w:r>
        <w:r w:rsidR="00783630">
          <w:rPr>
            <w:noProof/>
            <w:webHidden/>
          </w:rPr>
          <w:fldChar w:fldCharType="end"/>
        </w:r>
      </w:hyperlink>
    </w:p>
    <w:p w:rsidR="00C02BD9" w:rsidRPr="00684DAF" w:rsidRDefault="00783630" w:rsidP="00C02BD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end"/>
      </w:r>
    </w:p>
    <w:p w:rsidR="00C02BD9" w:rsidRDefault="00C02BD9" w:rsidP="00C02B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E21BA0" w:rsidRDefault="00E21BA0" w:rsidP="00C02B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E21BA0" w:rsidRDefault="00E21BA0" w:rsidP="00C02B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E21BA0" w:rsidRDefault="00E21BA0" w:rsidP="00C02B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E21BA0" w:rsidRDefault="00E21BA0" w:rsidP="00C02B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E21BA0" w:rsidRDefault="00E21BA0" w:rsidP="00C02B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E21BA0" w:rsidRPr="00E21BA0" w:rsidRDefault="00E21BA0" w:rsidP="00C02B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C02BD9" w:rsidRPr="00684DAF" w:rsidRDefault="00C02BD9" w:rsidP="008D4F3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02BD9" w:rsidRPr="00684DAF" w:rsidRDefault="00C02BD9" w:rsidP="008D4F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D4F37" w:rsidRPr="00684DAF" w:rsidRDefault="008D4F37" w:rsidP="008D4F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D4F37" w:rsidRPr="00684DAF" w:rsidRDefault="008D4F37" w:rsidP="008D4F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D9" w:rsidRPr="00684DAF" w:rsidRDefault="00C02BD9" w:rsidP="008D4F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D9" w:rsidRPr="00684DAF" w:rsidRDefault="00C02BD9" w:rsidP="008D4F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D9" w:rsidRPr="00684DAF" w:rsidRDefault="00C02BD9" w:rsidP="008D4F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D9" w:rsidRPr="00684DAF" w:rsidRDefault="00C02BD9" w:rsidP="008D4F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D9" w:rsidRPr="00684DAF" w:rsidRDefault="00C02BD9" w:rsidP="008B43D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D9" w:rsidRPr="00684DAF" w:rsidRDefault="00C02BD9" w:rsidP="008B43D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D9" w:rsidRPr="00684DAF" w:rsidRDefault="00C02BD9" w:rsidP="008B43D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D9" w:rsidRPr="00684DAF" w:rsidRDefault="00C02BD9" w:rsidP="008B43D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B43D2" w:rsidRPr="00783630" w:rsidRDefault="001B4D0F" w:rsidP="008B43D2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lastRenderedPageBreak/>
        <w:t xml:space="preserve">Република 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Србија располаже са око 5.092.00</w:t>
      </w:r>
      <w:r w:rsid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0 хектара пољопривредног земљишта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(0,68 хектара </w:t>
      </w:r>
      <w:r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по становнику)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од чега је 4.218.000 хектара </w:t>
      </w:r>
      <w:r w:rsid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обрадиво пољопривредно земљиште (0,56 хектара по становнику) што је изнад 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европског стандарада. </w:t>
      </w:r>
      <w:r w:rsidR="008B43D2" w:rsidRPr="004B2D4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Око 70% укупне територије Србије чини пољопривредно земљиште, док је 30% под шумама. </w:t>
      </w:r>
      <w:r w:rsidR="008B43D2" w:rsidRPr="004B2D4E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Коришћено пољоп</w:t>
      </w:r>
      <w:r w:rsidR="003A52F2" w:rsidRPr="004B2D4E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ривредно земљиште у хектарима</w:t>
      </w:r>
      <w:r w:rsidRPr="004B2D4E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у 2013. и</w:t>
      </w:r>
      <w:r w:rsidR="008B43D2" w:rsidRPr="004B2D4E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2014. </w:t>
      </w:r>
      <w:r w:rsidR="008B43D2"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години укупно и </w:t>
      </w:r>
      <w:r w:rsidR="001F7D33"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по категоријама приказано је у т</w:t>
      </w:r>
      <w:r w:rsidR="008B43D2"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абели 1. </w:t>
      </w:r>
    </w:p>
    <w:p w:rsidR="008B43D2" w:rsidRPr="00257E3D" w:rsidRDefault="00257E3D" w:rsidP="008B43D2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257E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АП Војводина располаже са 1.789.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000 хектара пољоприв</w:t>
      </w:r>
      <w:r w:rsidRPr="00257E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редног земљишта, од чега је 1.648.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>000 хектара обрадиво земљиште</w:t>
      </w:r>
      <w:r w:rsidR="008B43D2" w:rsidRPr="004B2D4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sr-Cyrl-RS"/>
        </w:rPr>
        <w:t xml:space="preserve">. АП </w:t>
      </w:r>
      <w:r w:rsidR="008B43D2" w:rsidRPr="004B2D4E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Војводина обухвата 35% пољопривредних површина Србије, у обрадивој површини учествује са 39%, а у ораницама са чак 47%. 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Међутим, у најинтензивнијим начинима коришћења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пољопривредног 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земљишта, воћњацима и виноградима</w:t>
      </w:r>
      <w:r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,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учествује са само 7%, односно 16%. У најекстензивнијим начинима коришћења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пољопривредног земљишта, ливадама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и пашњац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им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и, </w:t>
      </w:r>
      <w:r w:rsidR="008B43D2" w:rsidRPr="00684DA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учествује са свега 6%, односно 13%.</w:t>
      </w:r>
      <w:r w:rsidR="001B4D0F" w:rsidRPr="00684DAF">
        <w:rPr>
          <w:rStyle w:val="FootnoteReference"/>
          <w:rFonts w:ascii="Arial" w:eastAsia="Times New Roman" w:hAnsi="Arial" w:cs="Arial"/>
          <w:color w:val="000000"/>
          <w:sz w:val="20"/>
          <w:szCs w:val="20"/>
        </w:rPr>
        <w:footnoteReference w:id="1"/>
      </w:r>
      <w:r w:rsidR="008B43D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</w:p>
    <w:p w:rsidR="006F0D8B" w:rsidRPr="00580E61" w:rsidRDefault="00D550DB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Према </w:t>
      </w:r>
      <w:r w:rsidR="00257E3D">
        <w:rPr>
          <w:rFonts w:ascii="Arial" w:eastAsia="Times New Roman" w:hAnsi="Arial" w:cs="Arial"/>
          <w:sz w:val="20"/>
          <w:szCs w:val="20"/>
          <w:lang w:val="sr-Cyrl-RS"/>
        </w:rPr>
        <w:t>најновији</w:t>
      </w:r>
      <w:r w:rsidR="00F316C8" w:rsidRPr="00580E61">
        <w:rPr>
          <w:rFonts w:ascii="Arial" w:eastAsia="Times New Roman" w:hAnsi="Arial" w:cs="Arial"/>
          <w:sz w:val="20"/>
          <w:szCs w:val="20"/>
          <w:lang w:val="sr-Cyrl-RS"/>
        </w:rPr>
        <w:t>м и</w:t>
      </w:r>
      <w:r w:rsidRPr="00580E61">
        <w:rPr>
          <w:rFonts w:ascii="Arial" w:eastAsia="Times New Roman" w:hAnsi="Arial" w:cs="Arial"/>
          <w:sz w:val="20"/>
          <w:szCs w:val="20"/>
          <w:lang w:val="sr-Cyrl-RS"/>
        </w:rPr>
        <w:t>с</w:t>
      </w:r>
      <w:r w:rsidR="00580E61" w:rsidRPr="00580E61">
        <w:rPr>
          <w:rFonts w:ascii="Arial" w:eastAsia="Times New Roman" w:hAnsi="Arial" w:cs="Arial"/>
          <w:sz w:val="20"/>
          <w:szCs w:val="20"/>
          <w:lang w:val="sr-Cyrl-RS"/>
        </w:rPr>
        <w:t>т</w:t>
      </w:r>
      <w:r w:rsidRPr="00580E61">
        <w:rPr>
          <w:rFonts w:ascii="Arial" w:eastAsia="Times New Roman" w:hAnsi="Arial" w:cs="Arial"/>
          <w:sz w:val="20"/>
          <w:szCs w:val="20"/>
          <w:lang w:val="sr-Cyrl-RS"/>
        </w:rPr>
        <w:t>ра</w:t>
      </w:r>
      <w:r w:rsidR="009F64FB" w:rsidRPr="00580E61">
        <w:rPr>
          <w:rFonts w:ascii="Arial" w:eastAsia="Times New Roman" w:hAnsi="Arial" w:cs="Arial"/>
          <w:sz w:val="20"/>
          <w:szCs w:val="20"/>
          <w:lang w:val="sr-Cyrl-RS"/>
        </w:rPr>
        <w:t>ж</w:t>
      </w:r>
      <w:r w:rsidR="00257E3D">
        <w:rPr>
          <w:rFonts w:ascii="Arial" w:eastAsia="Times New Roman" w:hAnsi="Arial" w:cs="Arial"/>
          <w:sz w:val="20"/>
          <w:szCs w:val="20"/>
          <w:lang w:val="sr-Cyrl-RS"/>
        </w:rPr>
        <w:t>ивањима</w:t>
      </w:r>
      <w:r w:rsidRPr="00580E61">
        <w:rPr>
          <w:rStyle w:val="FootnoteReference"/>
          <w:rFonts w:ascii="Arial" w:eastAsia="Times New Roman" w:hAnsi="Arial" w:cs="Arial"/>
          <w:sz w:val="20"/>
          <w:szCs w:val="20"/>
          <w:lang w:val="sr-Cyrl-RS"/>
        </w:rPr>
        <w:footnoteReference w:id="2"/>
      </w:r>
      <w:r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 посебан проблем, када </w:t>
      </w:r>
      <w:r w:rsidR="00257E3D">
        <w:rPr>
          <w:rFonts w:ascii="Arial" w:eastAsia="Times New Roman" w:hAnsi="Arial" w:cs="Arial"/>
          <w:sz w:val="20"/>
          <w:szCs w:val="20"/>
          <w:lang w:val="sr-Cyrl-RS"/>
        </w:rPr>
        <w:t>је реч о</w:t>
      </w:r>
      <w:r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 структури пољопривредне производње у Републици Србији, </w:t>
      </w:r>
      <w:r w:rsidR="006D5BBB"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је </w:t>
      </w:r>
      <w:r w:rsidR="00257E3D">
        <w:rPr>
          <w:rFonts w:ascii="Arial" w:eastAsia="Times New Roman" w:hAnsi="Arial" w:cs="Arial"/>
          <w:sz w:val="20"/>
          <w:szCs w:val="20"/>
          <w:lang w:val="sr-Cyrl-RS"/>
        </w:rPr>
        <w:t xml:space="preserve">то </w:t>
      </w:r>
      <w:r w:rsidR="00F316C8" w:rsidRPr="00580E61">
        <w:rPr>
          <w:rFonts w:ascii="Arial" w:eastAsia="Times New Roman" w:hAnsi="Arial" w:cs="Arial"/>
          <w:sz w:val="20"/>
          <w:szCs w:val="20"/>
          <w:lang w:val="sr-Cyrl-RS"/>
        </w:rPr>
        <w:t>што су</w:t>
      </w:r>
      <w:r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 наше доминантне аграрне културе</w:t>
      </w:r>
      <w:r w:rsidR="006D5BBB"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Pr="00580E61">
        <w:rPr>
          <w:rFonts w:ascii="Arial" w:eastAsia="Times New Roman" w:hAnsi="Arial" w:cs="Arial"/>
          <w:sz w:val="20"/>
          <w:szCs w:val="20"/>
          <w:lang w:val="sr-Cyrl-RS"/>
        </w:rPr>
        <w:t>житарице и уљарице чије се цене одређују на светским берзама</w:t>
      </w:r>
      <w:r w:rsidR="006D5BBB" w:rsidRPr="00580E61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F316C8"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F0D8B"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Структура </w:t>
      </w:r>
      <w:r w:rsidR="00F316C8" w:rsidRPr="00580E61">
        <w:rPr>
          <w:rFonts w:ascii="Arial" w:eastAsia="Times New Roman" w:hAnsi="Arial" w:cs="Arial"/>
          <w:sz w:val="20"/>
          <w:szCs w:val="20"/>
          <w:lang w:val="sr-Cyrl-RS"/>
        </w:rPr>
        <w:t>пољопривредне производње у Републици Србији</w:t>
      </w:r>
      <w:r w:rsidR="006F0D8B"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 по категоријама </w:t>
      </w:r>
      <w:r w:rsidR="006F0D8B" w:rsidRPr="00580E61">
        <w:rPr>
          <w:rFonts w:ascii="Arial" w:hAnsi="Arial" w:cs="Arial"/>
          <w:color w:val="000000"/>
          <w:sz w:val="20"/>
          <w:szCs w:val="20"/>
          <w:lang w:val="sr-Cyrl-RS"/>
        </w:rPr>
        <w:t>пољопривредног зем</w:t>
      </w:r>
      <w:r w:rsidR="00580E61" w:rsidRPr="00580E61">
        <w:rPr>
          <w:rFonts w:ascii="Arial" w:hAnsi="Arial" w:cs="Arial"/>
          <w:color w:val="000000"/>
          <w:sz w:val="20"/>
          <w:szCs w:val="20"/>
          <w:lang w:val="sr-Cyrl-RS"/>
        </w:rPr>
        <w:t xml:space="preserve">љишта у хектарима за последње две </w:t>
      </w:r>
      <w:r w:rsidR="006F0D8B" w:rsidRPr="00580E61">
        <w:rPr>
          <w:rFonts w:ascii="Arial" w:hAnsi="Arial" w:cs="Arial"/>
          <w:color w:val="000000"/>
          <w:sz w:val="20"/>
          <w:szCs w:val="20"/>
          <w:lang w:val="sr-Cyrl-RS"/>
        </w:rPr>
        <w:t>године</w:t>
      </w:r>
      <w:r w:rsidR="00257E3D">
        <w:rPr>
          <w:rFonts w:ascii="Arial" w:hAnsi="Arial" w:cs="Arial"/>
          <w:color w:val="000000"/>
          <w:sz w:val="20"/>
          <w:szCs w:val="20"/>
          <w:lang w:val="sr-Cyrl-RS"/>
        </w:rPr>
        <w:t xml:space="preserve"> приказана је</w:t>
      </w:r>
      <w:r w:rsidR="001F7D33">
        <w:rPr>
          <w:rFonts w:ascii="Arial" w:hAnsi="Arial" w:cs="Arial"/>
          <w:color w:val="000000"/>
          <w:sz w:val="20"/>
          <w:szCs w:val="20"/>
          <w:lang w:val="sr-Cyrl-RS"/>
        </w:rPr>
        <w:t xml:space="preserve"> у т</w:t>
      </w:r>
      <w:r w:rsidR="00F316C8" w:rsidRPr="00580E61">
        <w:rPr>
          <w:rFonts w:ascii="Arial" w:hAnsi="Arial" w:cs="Arial"/>
          <w:color w:val="000000"/>
          <w:sz w:val="20"/>
          <w:szCs w:val="20"/>
          <w:lang w:val="sr-Cyrl-RS"/>
        </w:rPr>
        <w:t>абели</w:t>
      </w:r>
      <w:r w:rsidR="00257E3D">
        <w:rPr>
          <w:rFonts w:ascii="Arial" w:hAnsi="Arial" w:cs="Arial"/>
          <w:color w:val="000000"/>
          <w:sz w:val="20"/>
          <w:szCs w:val="20"/>
          <w:lang w:val="sr-Cyrl-RS"/>
        </w:rPr>
        <w:t xml:space="preserve"> 1</w:t>
      </w:r>
      <w:r w:rsidR="006F0D8B" w:rsidRPr="00580E61">
        <w:rPr>
          <w:rFonts w:ascii="Arial" w:hAnsi="Arial" w:cs="Arial"/>
          <w:color w:val="000000"/>
          <w:sz w:val="20"/>
          <w:szCs w:val="20"/>
          <w:lang w:val="sr-Cyrl-RS"/>
        </w:rPr>
        <w:t>.</w:t>
      </w:r>
    </w:p>
    <w:p w:rsidR="006F0D8B" w:rsidRPr="00724548" w:rsidRDefault="00E21BA0" w:rsidP="0071363A">
      <w:pPr>
        <w:pStyle w:val="Heading1"/>
        <w:rPr>
          <w:lang w:val="sr-Cyrl-RS"/>
        </w:rPr>
      </w:pPr>
      <w:bookmarkStart w:id="1" w:name="_Toc425513118"/>
      <w:r w:rsidRPr="00724548">
        <w:rPr>
          <w:rFonts w:eastAsia="Times New Roman"/>
          <w:b/>
          <w:lang w:val="sr-Cyrl-RS"/>
        </w:rPr>
        <w:t>Табела</w:t>
      </w:r>
      <w:r w:rsidR="006F0D8B" w:rsidRPr="00724548">
        <w:rPr>
          <w:rFonts w:eastAsia="Times New Roman"/>
          <w:b/>
          <w:lang w:val="sr-Cyrl-RS"/>
        </w:rPr>
        <w:t>1</w:t>
      </w:r>
      <w:r w:rsidR="0071363A" w:rsidRPr="00724548">
        <w:rPr>
          <w:rFonts w:eastAsia="Times New Roman"/>
          <w:lang w:val="sr-Cyrl-RS"/>
        </w:rPr>
        <w:t>.</w:t>
      </w:r>
      <w:r w:rsidR="006F0D8B" w:rsidRPr="00724548">
        <w:rPr>
          <w:lang w:val="sr-Cyrl-RS"/>
        </w:rPr>
        <w:t xml:space="preserve"> Коришћено пољопривредно земљиште </w:t>
      </w:r>
      <w:r w:rsidR="00257E3D">
        <w:rPr>
          <w:lang w:val="sr-Cyrl-RS"/>
        </w:rPr>
        <w:t xml:space="preserve">у Републици Србији </w:t>
      </w:r>
      <w:r w:rsidR="006F0D8B" w:rsidRPr="00724548">
        <w:rPr>
          <w:lang w:val="sr-Cyrl-RS"/>
        </w:rPr>
        <w:t>по категоријама у хектарима</w:t>
      </w:r>
      <w:r w:rsidR="009A653F">
        <w:rPr>
          <w:lang w:val="sr-Cyrl-RS"/>
        </w:rPr>
        <w:t>, 2014/2013</w:t>
      </w:r>
      <w:bookmarkEnd w:id="1"/>
      <w:r w:rsidR="009A653F">
        <w:rPr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1672"/>
        <w:gridCol w:w="1672"/>
      </w:tblGrid>
      <w:tr w:rsidR="006F0D8B" w:rsidRPr="00684DAF" w:rsidTr="0024485F">
        <w:tc>
          <w:tcPr>
            <w:tcW w:w="4696" w:type="dxa"/>
          </w:tcPr>
          <w:p w:rsidR="006F0D8B" w:rsidRPr="00724548" w:rsidRDefault="006F0D8B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hAnsi="Arial" w:cs="Arial"/>
                <w:sz w:val="20"/>
                <w:szCs w:val="20"/>
                <w:lang w:val="sr-Cyrl-RS"/>
              </w:rPr>
              <w:t>Катего</w:t>
            </w:r>
            <w:r w:rsidR="00724548" w:rsidRPr="00724548">
              <w:rPr>
                <w:rFonts w:ascii="Arial" w:hAnsi="Arial" w:cs="Arial"/>
                <w:sz w:val="20"/>
                <w:szCs w:val="20"/>
                <w:lang w:val="sr-Cyrl-RS"/>
              </w:rPr>
              <w:t>рија пољопривредног земљишта</w:t>
            </w:r>
            <w:r w:rsidR="0072454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(у хектарима)</w:t>
            </w:r>
          </w:p>
        </w:tc>
        <w:tc>
          <w:tcPr>
            <w:tcW w:w="1672" w:type="dxa"/>
          </w:tcPr>
          <w:p w:rsidR="006F0D8B" w:rsidRPr="00684DAF" w:rsidRDefault="006F0D8B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672" w:type="dxa"/>
          </w:tcPr>
          <w:p w:rsidR="006F0D8B" w:rsidRPr="00684DAF" w:rsidRDefault="006F0D8B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2014</w:t>
            </w:r>
          </w:p>
          <w:p w:rsidR="006F0D8B" w:rsidRPr="00684DAF" w:rsidRDefault="006F0D8B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color w:val="000000"/>
                <w:sz w:val="20"/>
                <w:szCs w:val="20"/>
              </w:rPr>
              <w:t>Коришћено пољопривредно земљиште</w:t>
            </w:r>
          </w:p>
        </w:tc>
        <w:tc>
          <w:tcPr>
            <w:tcW w:w="1672" w:type="dxa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3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490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632</w:t>
            </w:r>
          </w:p>
          <w:p w:rsidR="006F0D8B" w:rsidRPr="00684DAF" w:rsidRDefault="006F0D8B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3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506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830</w:t>
            </w:r>
          </w:p>
          <w:p w:rsidR="006F0D8B" w:rsidRPr="00684DAF" w:rsidRDefault="006F0D8B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Оранице и баште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3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490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606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073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Жита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589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819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Махунарке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766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7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Кромпир, рани и касни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5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51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Шећерна репа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50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64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Индустријско биље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66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346</w:t>
            </w:r>
            <w:r w:rsidR="00257E3D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Поврће, бостан и јагоде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368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52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680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Цвеће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52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Крмно биље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242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Остали усеви на ораницама и баштама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257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713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Пашњаци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381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331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Стални засади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331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588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187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Воћњаци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187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163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Виногради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163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22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6F0D8B" w:rsidRPr="00684DAF" w:rsidTr="0024485F">
        <w:tc>
          <w:tcPr>
            <w:tcW w:w="4696" w:type="dxa"/>
          </w:tcPr>
          <w:p w:rsidR="006F0D8B" w:rsidRPr="00684DAF" w:rsidRDefault="006F0D8B" w:rsidP="003B68D9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Расадници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22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672" w:type="dxa"/>
            <w:vAlign w:val="center"/>
          </w:tcPr>
          <w:p w:rsidR="006F0D8B" w:rsidRPr="00684DAF" w:rsidRDefault="006F0D8B" w:rsidP="003B68D9">
            <w:pPr>
              <w:spacing w:line="360" w:lineRule="auto"/>
              <w:ind w:firstLineChars="100" w:firstLine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</w:t>
            </w:r>
            <w:r w:rsidR="009A653F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sz w:val="20"/>
                <w:szCs w:val="20"/>
              </w:rPr>
              <w:t>531</w:t>
            </w:r>
          </w:p>
        </w:tc>
      </w:tr>
    </w:tbl>
    <w:p w:rsidR="007812AC" w:rsidRPr="00684DAF" w:rsidRDefault="007812AC" w:rsidP="003B68D9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4DAF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1)</w:t>
      </w:r>
      <w:r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 без података за Косово и Метохију</w:t>
      </w:r>
    </w:p>
    <w:p w:rsidR="007812AC" w:rsidRPr="00E21BA0" w:rsidRDefault="006F0D8B" w:rsidP="003B68D9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sr-Cyrl-RS"/>
        </w:rPr>
      </w:pPr>
      <w:r w:rsidRPr="00684DAF">
        <w:rPr>
          <w:rFonts w:ascii="Arial" w:hAnsi="Arial" w:cs="Arial"/>
          <w:sz w:val="20"/>
          <w:szCs w:val="20"/>
        </w:rPr>
        <w:t>Извор</w:t>
      </w:r>
      <w:r w:rsidRPr="00E21BA0">
        <w:rPr>
          <w:rFonts w:ascii="Arial" w:hAnsi="Arial" w:cs="Arial"/>
          <w:sz w:val="20"/>
          <w:szCs w:val="20"/>
          <w:lang w:val="sr-Cyrl-RS"/>
        </w:rPr>
        <w:t>:</w:t>
      </w:r>
      <w:r w:rsidR="007812AC" w:rsidRPr="00E21BA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Републички завод за статистику</w:t>
      </w:r>
      <w:r w:rsidR="00E21BA0" w:rsidRPr="00E21BA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(РЗС)</w:t>
      </w:r>
      <w:r w:rsidR="007812AC" w:rsidRPr="00E21BA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, јун 2015.</w:t>
      </w:r>
    </w:p>
    <w:p w:rsidR="006F0D8B" w:rsidRPr="00684DAF" w:rsidRDefault="006F0D8B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550DB" w:rsidRPr="00580E61" w:rsidRDefault="00D550DB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1F7D33">
        <w:rPr>
          <w:rFonts w:ascii="Arial" w:eastAsia="Times New Roman" w:hAnsi="Arial" w:cs="Arial"/>
          <w:sz w:val="20"/>
          <w:szCs w:val="20"/>
          <w:lang w:val="sr-Cyrl-RS"/>
        </w:rPr>
        <w:t xml:space="preserve">У табели </w:t>
      </w:r>
      <w:r w:rsidR="007812AC" w:rsidRPr="001F7D33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6F0D8B" w:rsidRPr="001F7D33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 w:rsidRPr="001F7D33">
        <w:rPr>
          <w:rFonts w:ascii="Arial" w:eastAsia="Times New Roman" w:hAnsi="Arial" w:cs="Arial"/>
          <w:sz w:val="20"/>
          <w:szCs w:val="20"/>
          <w:lang w:val="sr-Cyrl-RS"/>
        </w:rPr>
        <w:t xml:space="preserve">приказани </w:t>
      </w:r>
      <w:r w:rsidR="009F64FB" w:rsidRPr="001F7D33">
        <w:rPr>
          <w:rFonts w:ascii="Arial" w:eastAsia="Times New Roman" w:hAnsi="Arial" w:cs="Arial"/>
          <w:sz w:val="20"/>
          <w:szCs w:val="20"/>
          <w:lang w:val="sr-Cyrl-RS"/>
        </w:rPr>
        <w:t xml:space="preserve">су </w:t>
      </w:r>
      <w:r w:rsidR="00F316C8" w:rsidRPr="001F7D33">
        <w:rPr>
          <w:rFonts w:ascii="Arial" w:eastAsia="Times New Roman" w:hAnsi="Arial" w:cs="Arial"/>
          <w:sz w:val="20"/>
          <w:szCs w:val="20"/>
          <w:lang w:val="sr-Cyrl-RS"/>
        </w:rPr>
        <w:t>индекси пољопривредне</w:t>
      </w:r>
      <w:r w:rsidR="00F316C8" w:rsidRPr="00684DAF">
        <w:rPr>
          <w:rFonts w:ascii="Arial" w:eastAsia="Times New Roman" w:hAnsi="Arial" w:cs="Arial"/>
          <w:sz w:val="20"/>
          <w:szCs w:val="20"/>
        </w:rPr>
        <w:t xml:space="preserve"> производње у Републици  Србији</w:t>
      </w:r>
      <w:r w:rsidR="003A52F2" w:rsidRPr="00684DAF">
        <w:rPr>
          <w:rFonts w:ascii="Arial" w:eastAsia="Times New Roman" w:hAnsi="Arial" w:cs="Arial"/>
          <w:sz w:val="20"/>
          <w:szCs w:val="20"/>
        </w:rPr>
        <w:t xml:space="preserve"> (која је за </w:t>
      </w:r>
      <w:r w:rsidR="003A52F2" w:rsidRPr="009A653F">
        <w:rPr>
          <w:rFonts w:ascii="Arial" w:eastAsia="Times New Roman" w:hAnsi="Arial" w:cs="Arial"/>
          <w:sz w:val="20"/>
          <w:szCs w:val="20"/>
          <w:lang w:val="sr-Cyrl-CS"/>
        </w:rPr>
        <w:t>нешто мањ</w:t>
      </w:r>
      <w:r w:rsidR="009A653F" w:rsidRPr="009A653F">
        <w:rPr>
          <w:rFonts w:ascii="Arial" w:eastAsia="Times New Roman" w:hAnsi="Arial" w:cs="Arial"/>
          <w:sz w:val="20"/>
          <w:szCs w:val="20"/>
          <w:lang w:val="sr-Cyrl-CS"/>
        </w:rPr>
        <w:t>е од 2%</w:t>
      </w:r>
      <w:r w:rsidR="001B4D0F" w:rsidRPr="009A653F">
        <w:rPr>
          <w:rFonts w:ascii="Arial" w:eastAsia="Times New Roman" w:hAnsi="Arial" w:cs="Arial"/>
          <w:sz w:val="20"/>
          <w:szCs w:val="20"/>
          <w:lang w:val="sr-Cyrl-CS"/>
        </w:rPr>
        <w:t xml:space="preserve"> порасла</w:t>
      </w:r>
      <w:r w:rsidR="003A52F2" w:rsidRPr="009A653F">
        <w:rPr>
          <w:rFonts w:ascii="Arial" w:eastAsia="Times New Roman" w:hAnsi="Arial" w:cs="Arial"/>
          <w:sz w:val="20"/>
          <w:szCs w:val="20"/>
          <w:lang w:val="sr-Cyrl-CS"/>
        </w:rPr>
        <w:t xml:space="preserve"> у односу на претходну годину</w:t>
      </w:r>
      <w:r w:rsidR="001B4D0F" w:rsidRPr="009A653F">
        <w:rPr>
          <w:rFonts w:ascii="Arial" w:eastAsia="Times New Roman" w:hAnsi="Arial" w:cs="Arial"/>
          <w:sz w:val="20"/>
          <w:szCs w:val="20"/>
          <w:lang w:val="sr-Cyrl-CS"/>
        </w:rPr>
        <w:t xml:space="preserve">, као и </w:t>
      </w:r>
      <w:r w:rsidR="003A52F2" w:rsidRPr="009A653F">
        <w:rPr>
          <w:rFonts w:ascii="Arial" w:eastAsia="Times New Roman" w:hAnsi="Arial" w:cs="Arial"/>
          <w:sz w:val="20"/>
          <w:szCs w:val="20"/>
          <w:lang w:val="sr-Cyrl-CS"/>
        </w:rPr>
        <w:t xml:space="preserve">индекси </w:t>
      </w:r>
      <w:r w:rsidR="00F316C8" w:rsidRPr="009A653F">
        <w:rPr>
          <w:rFonts w:ascii="Arial" w:eastAsia="Times New Roman" w:hAnsi="Arial" w:cs="Arial"/>
          <w:sz w:val="20"/>
          <w:szCs w:val="20"/>
          <w:lang w:val="sr-Cyrl-CS"/>
        </w:rPr>
        <w:t>по културама.</w:t>
      </w:r>
      <w:r w:rsidR="00F316C8" w:rsidRPr="00684DAF">
        <w:rPr>
          <w:rFonts w:ascii="Arial" w:eastAsia="Times New Roman" w:hAnsi="Arial" w:cs="Arial"/>
          <w:sz w:val="20"/>
          <w:szCs w:val="20"/>
        </w:rPr>
        <w:t xml:space="preserve"> </w:t>
      </w:r>
      <w:r w:rsidR="00F316C8" w:rsidRPr="00580E61">
        <w:rPr>
          <w:rFonts w:ascii="Arial" w:eastAsia="Times New Roman" w:hAnsi="Arial" w:cs="Arial"/>
          <w:sz w:val="20"/>
          <w:szCs w:val="20"/>
          <w:lang w:val="sr-Cyrl-CS"/>
        </w:rPr>
        <w:t xml:space="preserve">Уочљиво је да је </w:t>
      </w:r>
      <w:r w:rsidR="0049193A" w:rsidRPr="00580E61">
        <w:rPr>
          <w:rFonts w:ascii="Arial" w:eastAsia="Times New Roman" w:hAnsi="Arial" w:cs="Arial"/>
          <w:sz w:val="20"/>
          <w:szCs w:val="20"/>
          <w:lang w:val="sr-Cyrl-CS"/>
        </w:rPr>
        <w:t>биљна произво</w:t>
      </w:r>
      <w:r w:rsidR="00580E61" w:rsidRPr="00580E61">
        <w:rPr>
          <w:rFonts w:ascii="Arial" w:eastAsia="Times New Roman" w:hAnsi="Arial" w:cs="Arial"/>
          <w:sz w:val="20"/>
          <w:szCs w:val="20"/>
          <w:lang w:val="sr-Cyrl-CS"/>
        </w:rPr>
        <w:t>дња за нешто мање од 6%</w:t>
      </w:r>
      <w:r w:rsidR="0049193A" w:rsidRPr="00580E61">
        <w:rPr>
          <w:rFonts w:ascii="Arial" w:eastAsia="Times New Roman" w:hAnsi="Arial" w:cs="Arial"/>
          <w:sz w:val="20"/>
          <w:szCs w:val="20"/>
          <w:lang w:val="sr-Cyrl-CS"/>
        </w:rPr>
        <w:t xml:space="preserve"> порасла у односу на претходну годину, док је </w:t>
      </w:r>
      <w:r w:rsidR="001B4D0F" w:rsidRPr="00580E61">
        <w:rPr>
          <w:rFonts w:ascii="Arial" w:eastAsia="Times New Roman" w:hAnsi="Arial" w:cs="Arial"/>
          <w:sz w:val="20"/>
          <w:szCs w:val="20"/>
          <w:lang w:val="sr-Cyrl-CS"/>
        </w:rPr>
        <w:t>сточарство остало</w:t>
      </w:r>
      <w:r w:rsidR="0049193A" w:rsidRPr="00580E61">
        <w:rPr>
          <w:rFonts w:ascii="Arial" w:eastAsia="Times New Roman" w:hAnsi="Arial" w:cs="Arial"/>
          <w:sz w:val="20"/>
          <w:szCs w:val="20"/>
          <w:lang w:val="sr-Cyrl-CS"/>
        </w:rPr>
        <w:t xml:space="preserve"> на истом нивоу.</w:t>
      </w:r>
    </w:p>
    <w:p w:rsidR="00D550DB" w:rsidRPr="001F7D33" w:rsidRDefault="00D550DB" w:rsidP="001F7D33">
      <w:pPr>
        <w:pStyle w:val="Heading1"/>
        <w:rPr>
          <w:rFonts w:eastAsia="Times New Roman"/>
          <w:lang w:val="sr-Cyrl-RS"/>
        </w:rPr>
      </w:pPr>
      <w:bookmarkStart w:id="2" w:name="_Toc425513119"/>
      <w:r w:rsidRPr="00E21BA0">
        <w:rPr>
          <w:rFonts w:eastAsia="Times New Roman"/>
          <w:b/>
          <w:lang w:val="sr-Cyrl-RS"/>
        </w:rPr>
        <w:t>Табела</w:t>
      </w:r>
      <w:r w:rsidR="009F64FB" w:rsidRPr="00E21BA0">
        <w:rPr>
          <w:rFonts w:eastAsia="Times New Roman"/>
          <w:b/>
          <w:lang w:val="sr-Cyrl-RS"/>
        </w:rPr>
        <w:t xml:space="preserve"> </w:t>
      </w:r>
      <w:r w:rsidR="006F0D8B" w:rsidRPr="00E21BA0">
        <w:rPr>
          <w:rFonts w:eastAsia="Times New Roman"/>
          <w:b/>
          <w:lang w:val="sr-Cyrl-RS"/>
        </w:rPr>
        <w:t>2</w:t>
      </w:r>
      <w:r w:rsidR="006F0D8B" w:rsidRPr="001F7D33">
        <w:rPr>
          <w:rFonts w:eastAsia="Times New Roman"/>
          <w:lang w:val="sr-Cyrl-RS"/>
        </w:rPr>
        <w:t>.</w:t>
      </w:r>
      <w:r w:rsidRPr="001F7D33">
        <w:rPr>
          <w:rFonts w:eastAsia="Times New Roman"/>
          <w:lang w:val="sr-Cyrl-RS"/>
        </w:rPr>
        <w:t xml:space="preserve"> </w:t>
      </w:r>
      <w:r w:rsidR="009F64FB" w:rsidRPr="001F7D33">
        <w:rPr>
          <w:rFonts w:eastAsia="Times New Roman"/>
          <w:lang w:val="sr-Cyrl-RS"/>
        </w:rPr>
        <w:t>И</w:t>
      </w:r>
      <w:r w:rsidRPr="001F7D33">
        <w:rPr>
          <w:rFonts w:eastAsia="Times New Roman"/>
          <w:lang w:val="sr-Cyrl-RS"/>
        </w:rPr>
        <w:t>ндекс</w:t>
      </w:r>
      <w:r w:rsidR="009F64FB" w:rsidRPr="001F7D33">
        <w:rPr>
          <w:rFonts w:eastAsia="Times New Roman"/>
          <w:lang w:val="sr-Cyrl-RS"/>
        </w:rPr>
        <w:t>и</w:t>
      </w:r>
      <w:r w:rsidRPr="001F7D33">
        <w:rPr>
          <w:rFonts w:eastAsia="Times New Roman"/>
          <w:lang w:val="sr-Cyrl-RS"/>
        </w:rPr>
        <w:t xml:space="preserve"> пољопривредне производње</w:t>
      </w:r>
      <w:r w:rsidRPr="00684DAF">
        <w:rPr>
          <w:rFonts w:eastAsia="Times New Roman"/>
        </w:rPr>
        <w:t>, 2014/2013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D550DB" w:rsidRPr="00684DAF" w:rsidTr="009F64FB">
        <w:tc>
          <w:tcPr>
            <w:tcW w:w="4621" w:type="dxa"/>
          </w:tcPr>
          <w:p w:rsidR="00D550DB" w:rsidRPr="00684DAF" w:rsidRDefault="009F64F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F7D33">
              <w:rPr>
                <w:rFonts w:ascii="Arial" w:hAnsi="Arial" w:cs="Arial"/>
                <w:sz w:val="20"/>
                <w:szCs w:val="20"/>
                <w:lang w:val="sr-Cyrl-RS"/>
              </w:rPr>
              <w:t>Биљна производња</w:t>
            </w:r>
            <w:r w:rsidRPr="00684DAF">
              <w:rPr>
                <w:rFonts w:ascii="Arial" w:hAnsi="Arial" w:cs="Arial"/>
                <w:sz w:val="20"/>
                <w:szCs w:val="20"/>
              </w:rPr>
              <w:t xml:space="preserve"> (1,2,3)</w:t>
            </w:r>
          </w:p>
        </w:tc>
        <w:tc>
          <w:tcPr>
            <w:tcW w:w="4622" w:type="dxa"/>
          </w:tcPr>
          <w:p w:rsidR="00D550DB" w:rsidRPr="00684DAF" w:rsidRDefault="009F64F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105,59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D550D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2454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724548"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Ратарство и повртарство</w:t>
            </w:r>
            <w:r w:rsidR="00724548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укупно</w:t>
            </w: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111,85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724548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- </w:t>
            </w:r>
            <w:r w:rsidR="00D550DB"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Жита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119,86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724548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- </w:t>
            </w:r>
            <w:r w:rsidR="00D550DB"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Индустријско биље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117,81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724548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- </w:t>
            </w:r>
            <w:r w:rsidR="00D550DB"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Поврће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82,99</w:t>
            </w:r>
          </w:p>
        </w:tc>
      </w:tr>
      <w:tr w:rsidR="00D550DB" w:rsidRPr="00684DAF" w:rsidTr="009F64FB">
        <w:trPr>
          <w:trHeight w:val="768"/>
        </w:trPr>
        <w:tc>
          <w:tcPr>
            <w:tcW w:w="4621" w:type="dxa"/>
          </w:tcPr>
          <w:p w:rsidR="00D550DB" w:rsidRPr="00724548" w:rsidRDefault="00724548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- </w:t>
            </w:r>
            <w:r w:rsidR="00D550DB"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Сточно (крмно) биље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104,60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D550D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2. Воћарство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79,54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D550D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3. Виноградарство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72,78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D550D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Сточарство (1+2+3+4+5)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100,39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D550D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1. Говедарство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99,94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D550D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2. Свињарство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104,84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D550D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3. Овчарство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90,81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D550D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4. Живинарство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100,48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724548" w:rsidRDefault="00D550D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2454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5. Пчеларство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51,24</w:t>
            </w:r>
          </w:p>
        </w:tc>
      </w:tr>
      <w:tr w:rsidR="00D550DB" w:rsidRPr="00684DAF" w:rsidTr="009F64FB">
        <w:tc>
          <w:tcPr>
            <w:tcW w:w="4621" w:type="dxa"/>
          </w:tcPr>
          <w:p w:rsidR="00D550DB" w:rsidRPr="009A653F" w:rsidRDefault="00D550DB" w:rsidP="003B68D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CS"/>
              </w:rPr>
            </w:pPr>
            <w:r w:rsidRPr="009A653F">
              <w:rPr>
                <w:rFonts w:ascii="Arial" w:eastAsia="Times New Roman" w:hAnsi="Arial" w:cs="Arial"/>
                <w:sz w:val="20"/>
                <w:szCs w:val="20"/>
                <w:lang w:val="sr-Cyrl-CS"/>
              </w:rPr>
              <w:t>Пољопривредна производња укупно</w:t>
            </w:r>
          </w:p>
        </w:tc>
        <w:tc>
          <w:tcPr>
            <w:tcW w:w="4622" w:type="dxa"/>
          </w:tcPr>
          <w:p w:rsidR="00D550DB" w:rsidRPr="00684DAF" w:rsidRDefault="00D550DB" w:rsidP="00F316C8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101,98</w:t>
            </w:r>
          </w:p>
        </w:tc>
      </w:tr>
    </w:tbl>
    <w:p w:rsidR="003A52F2" w:rsidRPr="004B2D4E" w:rsidRDefault="00D550DB" w:rsidP="00E21BA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Latn-RS"/>
        </w:rPr>
      </w:pPr>
      <w:r w:rsidRPr="00E21BA0">
        <w:rPr>
          <w:rFonts w:ascii="Arial" w:eastAsia="Times New Roman" w:hAnsi="Arial" w:cs="Arial"/>
          <w:sz w:val="20"/>
          <w:szCs w:val="20"/>
          <w:lang w:val="sr-Cyrl-RS"/>
        </w:rPr>
        <w:t>Извор: Републички Завод за Статистику</w:t>
      </w:r>
      <w:r w:rsidR="00E21BA0" w:rsidRPr="00E21BA0">
        <w:rPr>
          <w:rFonts w:ascii="Arial" w:eastAsia="Times New Roman" w:hAnsi="Arial" w:cs="Arial"/>
          <w:sz w:val="20"/>
          <w:szCs w:val="20"/>
          <w:lang w:val="sr-Cyrl-RS"/>
        </w:rPr>
        <w:t xml:space="preserve"> (РЗС)</w:t>
      </w:r>
      <w:r w:rsidRPr="00E21BA0">
        <w:rPr>
          <w:rFonts w:ascii="Arial" w:eastAsia="Times New Roman" w:hAnsi="Arial" w:cs="Arial"/>
          <w:sz w:val="20"/>
          <w:szCs w:val="20"/>
          <w:lang w:val="sr-Cyrl-RS"/>
        </w:rPr>
        <w:t>, према</w:t>
      </w:r>
      <w:r w:rsidR="009F64FB" w:rsidRPr="00E21BA0">
        <w:rPr>
          <w:rFonts w:ascii="Arial" w:eastAsia="Times New Roman" w:hAnsi="Arial" w:cs="Arial"/>
          <w:sz w:val="20"/>
          <w:szCs w:val="20"/>
          <w:lang w:val="sr-Cyrl-RS"/>
        </w:rPr>
        <w:t>:</w:t>
      </w:r>
      <w:r w:rsidRPr="00E21BA0">
        <w:rPr>
          <w:rFonts w:ascii="Arial" w:eastAsia="Times New Roman" w:hAnsi="Arial" w:cs="Arial"/>
          <w:sz w:val="20"/>
          <w:szCs w:val="20"/>
          <w:lang w:val="sr-Cyrl-RS"/>
        </w:rPr>
        <w:t xml:space="preserve"> Макроекономске анализе </w:t>
      </w:r>
      <w:r w:rsidR="009F64FB" w:rsidRPr="00E21BA0">
        <w:rPr>
          <w:rFonts w:ascii="Arial" w:eastAsia="Times New Roman" w:hAnsi="Arial" w:cs="Arial"/>
          <w:sz w:val="20"/>
          <w:szCs w:val="20"/>
          <w:lang w:val="sr-Cyrl-RS"/>
        </w:rPr>
        <w:t>и</w:t>
      </w:r>
      <w:r w:rsidRPr="00E21BA0">
        <w:rPr>
          <w:rFonts w:ascii="Arial" w:eastAsia="Times New Roman" w:hAnsi="Arial" w:cs="Arial"/>
          <w:sz w:val="20"/>
          <w:szCs w:val="20"/>
          <w:lang w:val="sr-Cyrl-RS"/>
        </w:rPr>
        <w:t xml:space="preserve"> трендови</w:t>
      </w:r>
      <w:r w:rsidR="00E21BA0" w:rsidRPr="00E21BA0">
        <w:rPr>
          <w:rFonts w:ascii="Arial" w:eastAsia="Times New Roman" w:hAnsi="Arial" w:cs="Arial"/>
          <w:sz w:val="20"/>
          <w:szCs w:val="20"/>
          <w:lang w:val="sr-Cyrl-RS"/>
        </w:rPr>
        <w:t xml:space="preserve"> (МАТ)</w:t>
      </w:r>
      <w:r w:rsidRPr="00E21BA0">
        <w:rPr>
          <w:rFonts w:ascii="Arial" w:eastAsia="Times New Roman" w:hAnsi="Arial" w:cs="Arial"/>
          <w:sz w:val="20"/>
          <w:szCs w:val="20"/>
          <w:lang w:val="sr-Cyrl-RS"/>
        </w:rPr>
        <w:t>, бр.</w:t>
      </w:r>
      <w:r w:rsidR="004B2D4E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4B2D4E">
        <w:rPr>
          <w:rFonts w:ascii="Arial" w:eastAsia="Times New Roman" w:hAnsi="Arial" w:cs="Arial"/>
          <w:sz w:val="20"/>
          <w:szCs w:val="20"/>
          <w:lang w:val="sr-Latn-RS"/>
        </w:rPr>
        <w:t>44 (A</w:t>
      </w:r>
      <w:r w:rsidR="004B2D4E">
        <w:rPr>
          <w:rFonts w:ascii="Arial" w:eastAsia="Times New Roman" w:hAnsi="Arial" w:cs="Arial"/>
          <w:sz w:val="20"/>
          <w:szCs w:val="20"/>
          <w:lang w:val="sr-Cyrl-RS"/>
        </w:rPr>
        <w:t>прил 2015</w:t>
      </w:r>
      <w:r w:rsidR="004B2D4E">
        <w:rPr>
          <w:rFonts w:ascii="Arial" w:eastAsia="Times New Roman" w:hAnsi="Arial" w:cs="Arial"/>
          <w:sz w:val="20"/>
          <w:szCs w:val="20"/>
          <w:lang w:val="sr-Latn-RS"/>
        </w:rPr>
        <w:t>)</w:t>
      </w:r>
    </w:p>
    <w:p w:rsidR="00E21BA0" w:rsidRPr="00E21BA0" w:rsidRDefault="00E21BA0" w:rsidP="00E21BA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1B4D0F" w:rsidRPr="00257E3D" w:rsidRDefault="007812AC" w:rsidP="001B4D0F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580E61">
        <w:rPr>
          <w:rFonts w:ascii="Arial" w:eastAsia="Times New Roman" w:hAnsi="Arial" w:cs="Arial"/>
          <w:sz w:val="20"/>
          <w:szCs w:val="20"/>
          <w:lang w:val="sr-Cyrl-CS"/>
        </w:rPr>
        <w:t>По мишљењу економиста</w:t>
      </w:r>
      <w:r w:rsidR="00580E61" w:rsidRPr="00580E61">
        <w:rPr>
          <w:rFonts w:ascii="Arial" w:eastAsia="Times New Roman" w:hAnsi="Arial" w:cs="Arial"/>
          <w:sz w:val="20"/>
          <w:szCs w:val="20"/>
          <w:lang w:val="sr-Cyrl-CS"/>
        </w:rPr>
        <w:t>,</w:t>
      </w:r>
      <w:r w:rsidRPr="00580E61">
        <w:rPr>
          <w:rFonts w:ascii="Arial" w:eastAsia="Times New Roman" w:hAnsi="Arial" w:cs="Arial"/>
          <w:sz w:val="20"/>
          <w:szCs w:val="20"/>
          <w:lang w:val="sr-Cyrl-CS"/>
        </w:rPr>
        <w:t xml:space="preserve"> охрабрује</w:t>
      </w:r>
      <w:r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 чињеница да буџетска средства опредељена за пољопривреду нису била захваће</w:t>
      </w:r>
      <w:r w:rsidR="001B4D0F" w:rsidRPr="00580E61">
        <w:rPr>
          <w:rFonts w:ascii="Arial" w:eastAsia="Times New Roman" w:hAnsi="Arial" w:cs="Arial"/>
          <w:sz w:val="20"/>
          <w:szCs w:val="20"/>
          <w:lang w:val="sr-Cyrl-RS"/>
        </w:rPr>
        <w:t>на мерама фискалне рестрикције ш</w:t>
      </w:r>
      <w:r w:rsidRPr="00580E61">
        <w:rPr>
          <w:rFonts w:ascii="Arial" w:eastAsia="Times New Roman" w:hAnsi="Arial" w:cs="Arial"/>
          <w:sz w:val="20"/>
          <w:szCs w:val="20"/>
          <w:lang w:val="sr-Cyrl-RS"/>
        </w:rPr>
        <w:t>то је умањило не</w:t>
      </w:r>
      <w:r w:rsidR="003A52F2"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гативне трендове у производњи, </w:t>
      </w:r>
      <w:r w:rsidRPr="00580E61">
        <w:rPr>
          <w:rFonts w:ascii="Arial" w:eastAsia="Times New Roman" w:hAnsi="Arial" w:cs="Arial"/>
          <w:sz w:val="20"/>
          <w:szCs w:val="20"/>
          <w:lang w:val="sr-Cyrl-RS"/>
        </w:rPr>
        <w:t>пре свега у сточарству.</w:t>
      </w:r>
      <w:r w:rsidR="0049193A"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193A" w:rsidRPr="00580E61">
        <w:rPr>
          <w:rFonts w:ascii="Arial" w:eastAsia="Times New Roman" w:hAnsi="Arial" w:cs="Arial"/>
          <w:sz w:val="20"/>
          <w:szCs w:val="20"/>
          <w:lang w:val="sr-Cyrl-CS"/>
        </w:rPr>
        <w:t>Према подацима</w:t>
      </w:r>
      <w:r w:rsidR="003A52F2" w:rsidRPr="00580E61">
        <w:rPr>
          <w:rFonts w:ascii="Arial" w:eastAsia="Times New Roman" w:hAnsi="Arial" w:cs="Arial"/>
          <w:sz w:val="20"/>
          <w:szCs w:val="20"/>
          <w:lang w:val="sr-Cyrl-CS"/>
        </w:rPr>
        <w:t xml:space="preserve"> из</w:t>
      </w:r>
      <w:r w:rsidR="0049193A" w:rsidRPr="00257E3D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193A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2014. </w:t>
      </w:r>
      <w:r w:rsid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г</w:t>
      </w:r>
      <w:r w:rsidR="0049193A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одине</w:t>
      </w:r>
      <w:r w:rsidR="009A653F">
        <w:rPr>
          <w:lang w:val="sr-Cyrl-RS"/>
        </w:rPr>
        <w:t>,</w:t>
      </w:r>
      <w:r w:rsidR="0049193A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у структури створене вредности пољопривредне производње 70% потиче из биљне производње, а 30% из сточарске производње.</w:t>
      </w:r>
      <w:r w:rsidR="001B4D0F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 w:rsidR="009A653F">
        <w:rPr>
          <w:rFonts w:ascii="Arial" w:hAnsi="Arial" w:cs="Arial"/>
          <w:sz w:val="20"/>
          <w:szCs w:val="20"/>
          <w:lang w:val="sr-Cyrl-RS"/>
        </w:rPr>
        <w:t>З</w:t>
      </w:r>
      <w:r w:rsidR="001B4D0F" w:rsidRPr="00257E3D">
        <w:rPr>
          <w:rFonts w:ascii="Arial" w:hAnsi="Arial" w:cs="Arial"/>
          <w:sz w:val="20"/>
          <w:szCs w:val="20"/>
          <w:lang w:val="sr-Cyrl-RS"/>
        </w:rPr>
        <w:t xml:space="preserve">а надлежно Министарство пољопривреде, шумарства и водопривреде </w:t>
      </w:r>
      <w:r w:rsidR="001B4D0F" w:rsidRPr="00257E3D">
        <w:rPr>
          <w:rFonts w:ascii="Arial" w:hAnsi="Arial" w:cs="Arial"/>
          <w:sz w:val="20"/>
          <w:szCs w:val="20"/>
          <w:lang w:val="sr-Cyrl-RS"/>
        </w:rPr>
        <w:lastRenderedPageBreak/>
        <w:t xml:space="preserve">опредељено 4,15% буџетских средстава или </w:t>
      </w:r>
      <w:r w:rsidR="001B4D0F" w:rsidRPr="00257E3D">
        <w:rPr>
          <w:rFonts w:ascii="Arial" w:hAnsi="Arial" w:cs="Arial"/>
          <w:bCs/>
          <w:sz w:val="20"/>
          <w:szCs w:val="20"/>
          <w:lang w:val="sr-Cyrl-RS"/>
        </w:rPr>
        <w:t>45.394.698.000 РСД, од чега за инвестиционе пројекте 1.569.220.000 РСД.</w:t>
      </w:r>
      <w:r w:rsidR="001B4D0F" w:rsidRPr="00684DAF">
        <w:rPr>
          <w:rStyle w:val="FootnoteReference"/>
          <w:rFonts w:ascii="Arial" w:hAnsi="Arial" w:cs="Arial"/>
          <w:bCs/>
          <w:sz w:val="20"/>
          <w:szCs w:val="20"/>
        </w:rPr>
        <w:footnoteReference w:id="3"/>
      </w:r>
    </w:p>
    <w:p w:rsidR="0049193A" w:rsidRPr="00257E3D" w:rsidRDefault="0049193A" w:rsidP="0049193A">
      <w:pPr>
        <w:spacing w:before="100" w:after="10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Пољопривреда и прехрамбена индустрија Србије у стварању </w:t>
      </w:r>
      <w:r w:rsidR="003A52F2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бруто </w:t>
      </w:r>
      <w:r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друштвеног производа </w:t>
      </w:r>
      <w:r w:rsidR="009A653F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(БДП) </w:t>
      </w:r>
      <w:r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земље </w:t>
      </w:r>
      <w:r w:rsidR="001B4D0F"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прошле године </w:t>
      </w:r>
      <w:r w:rsidRPr="00257E3D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учествовале су са око 17% и то:</w:t>
      </w:r>
      <w:r w:rsid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</w:p>
    <w:p w:rsidR="0049193A" w:rsidRPr="00684DAF" w:rsidRDefault="0049193A" w:rsidP="0049193A">
      <w:pPr>
        <w:numPr>
          <w:ilvl w:val="0"/>
          <w:numId w:val="2"/>
        </w:numPr>
        <w:spacing w:before="100" w:after="10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пољопривредна производња</w:t>
      </w:r>
      <w:r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 10,6% и</w:t>
      </w:r>
    </w:p>
    <w:p w:rsidR="0049193A" w:rsidRPr="00684DAF" w:rsidRDefault="0049193A" w:rsidP="0049193A">
      <w:pPr>
        <w:numPr>
          <w:ilvl w:val="0"/>
          <w:numId w:val="2"/>
        </w:numPr>
        <w:spacing w:before="100" w:after="10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84DAF">
        <w:rPr>
          <w:rFonts w:ascii="Arial" w:eastAsia="Times New Roman" w:hAnsi="Arial" w:cs="Arial"/>
          <w:color w:val="000000"/>
          <w:sz w:val="20"/>
          <w:szCs w:val="20"/>
        </w:rPr>
        <w:t>прехрамбена индустрија 6,4%.</w:t>
      </w:r>
    </w:p>
    <w:p w:rsidR="0049193A" w:rsidRPr="009A653F" w:rsidRDefault="0049193A" w:rsidP="0049193A">
      <w:pPr>
        <w:spacing w:before="100" w:after="10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Међутим, ако се посматра целокупан допринос пољопривреде осталим секторима привреде, посебно произвођачима и прерађивачима инпута и сировина ово уч</w:t>
      </w:r>
      <w:r w:rsidR="009A653F" w:rsidRP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ешће надмашује 40% укупног БДП</w:t>
      </w:r>
      <w:r w:rsidRP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.</w:t>
      </w:r>
      <w:r w:rsidR="001B4D0F" w:rsidRPr="009A653F">
        <w:rPr>
          <w:rStyle w:val="FootnoteReference"/>
          <w:rFonts w:ascii="Arial" w:eastAsia="Times New Roman" w:hAnsi="Arial" w:cs="Arial"/>
          <w:color w:val="000000"/>
          <w:sz w:val="20"/>
          <w:szCs w:val="20"/>
          <w:lang w:val="sr-Cyrl-RS"/>
        </w:rPr>
        <w:footnoteReference w:id="4"/>
      </w:r>
    </w:p>
    <w:p w:rsidR="007812AC" w:rsidRPr="00580E61" w:rsidRDefault="007812AC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Реализована вредност пољопривреде у </w:t>
      </w:r>
      <w:r w:rsidR="001B4D0F"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неколико </w:t>
      </w:r>
      <w:r w:rsidR="00500CE2"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претходних </w:t>
      </w:r>
      <w:r w:rsidR="001B4D0F" w:rsidRPr="00580E61">
        <w:rPr>
          <w:rFonts w:ascii="Arial" w:eastAsia="Times New Roman" w:hAnsi="Arial" w:cs="Arial"/>
          <w:sz w:val="20"/>
          <w:szCs w:val="20"/>
          <w:lang w:val="sr-Cyrl-RS"/>
        </w:rPr>
        <w:t>година</w:t>
      </w:r>
      <w:r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 у милионима </w:t>
      </w:r>
      <w:r w:rsidR="00500CE2" w:rsidRPr="00580E61">
        <w:rPr>
          <w:rFonts w:ascii="Arial" w:eastAsia="Times New Roman" w:hAnsi="Arial" w:cs="Arial"/>
          <w:sz w:val="20"/>
          <w:szCs w:val="20"/>
          <w:lang w:val="sr-Cyrl-RS"/>
        </w:rPr>
        <w:t>РСД</w:t>
      </w:r>
      <w:r w:rsidR="00580E61" w:rsidRPr="00580E61">
        <w:rPr>
          <w:rFonts w:ascii="Arial" w:eastAsia="Times New Roman" w:hAnsi="Arial" w:cs="Arial"/>
          <w:sz w:val="20"/>
          <w:szCs w:val="20"/>
          <w:lang w:val="sr-Cyrl-RS"/>
        </w:rPr>
        <w:t xml:space="preserve"> је дата у табели 3.</w:t>
      </w:r>
    </w:p>
    <w:p w:rsidR="007812AC" w:rsidRPr="001F7D33" w:rsidRDefault="0071363A" w:rsidP="001F7D33">
      <w:pPr>
        <w:pStyle w:val="Heading1"/>
        <w:rPr>
          <w:rFonts w:eastAsia="Times New Roman"/>
          <w:lang w:val="sr-Cyrl-RS"/>
        </w:rPr>
      </w:pPr>
      <w:bookmarkStart w:id="3" w:name="_Toc425513120"/>
      <w:r w:rsidRPr="0071363A">
        <w:rPr>
          <w:rFonts w:eastAsia="Times New Roman"/>
          <w:b/>
          <w:lang w:val="sr-Cyrl-RS"/>
        </w:rPr>
        <w:t>Табела 3.</w:t>
      </w:r>
      <w:r w:rsidR="007812AC" w:rsidRPr="0071363A">
        <w:rPr>
          <w:rFonts w:eastAsia="Times New Roman"/>
          <w:lang w:val="sr-Cyrl-RS"/>
        </w:rPr>
        <w:t> Пољопривредна</w:t>
      </w:r>
      <w:r w:rsidR="007812AC" w:rsidRPr="00257E3D">
        <w:rPr>
          <w:rFonts w:eastAsia="Times New Roman"/>
          <w:lang w:val="sr-Cyrl-RS"/>
        </w:rPr>
        <w:t xml:space="preserve"> производња, лов и пратеће услужне делатности </w:t>
      </w:r>
      <w:r w:rsidRPr="00257E3D">
        <w:rPr>
          <w:rFonts w:eastAsia="Times New Roman"/>
          <w:lang w:val="sr-Cyrl-RS"/>
        </w:rPr>
        <w:t xml:space="preserve">по годинама, </w:t>
      </w:r>
      <w:r w:rsidRPr="0071363A">
        <w:rPr>
          <w:rFonts w:eastAsia="Times New Roman"/>
          <w:lang w:val="sr-Cyrl-RS"/>
        </w:rPr>
        <w:t>текуће цене, у милионима</w:t>
      </w:r>
      <w:r w:rsidR="007812AC" w:rsidRPr="00257E3D">
        <w:rPr>
          <w:rFonts w:eastAsia="Times New Roman"/>
          <w:lang w:val="sr-Cyrl-RS"/>
        </w:rPr>
        <w:t xml:space="preserve"> РСД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7812AC" w:rsidRPr="00684DAF" w:rsidTr="0024485F">
        <w:tc>
          <w:tcPr>
            <w:tcW w:w="2310" w:type="dxa"/>
          </w:tcPr>
          <w:p w:rsidR="007812AC" w:rsidRPr="00684DAF" w:rsidRDefault="007812AC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311" w:type="dxa"/>
          </w:tcPr>
          <w:p w:rsidR="007812AC" w:rsidRPr="00684DAF" w:rsidRDefault="007812AC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311" w:type="dxa"/>
          </w:tcPr>
          <w:p w:rsidR="007812AC" w:rsidRPr="00684DAF" w:rsidRDefault="007812AC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311" w:type="dxa"/>
          </w:tcPr>
          <w:p w:rsidR="007812AC" w:rsidRPr="00684DAF" w:rsidRDefault="007812AC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</w:tr>
      <w:tr w:rsidR="007812AC" w:rsidRPr="00684DAF" w:rsidTr="0024485F">
        <w:tc>
          <w:tcPr>
            <w:tcW w:w="2310" w:type="dxa"/>
          </w:tcPr>
          <w:p w:rsidR="007812AC" w:rsidRPr="00724548" w:rsidRDefault="007812AC" w:rsidP="0072454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684DAF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</w:t>
            </w:r>
            <w:r w:rsidRPr="00684DA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11" w:type="dxa"/>
          </w:tcPr>
          <w:p w:rsidR="007812AC" w:rsidRPr="00684DAF" w:rsidRDefault="007812AC" w:rsidP="003B68D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</w:t>
            </w:r>
            <w:r w:rsidRPr="00684DA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:rsidR="007812AC" w:rsidRPr="00684DAF" w:rsidRDefault="007812AC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</w:tcPr>
          <w:p w:rsidR="007812AC" w:rsidRPr="00684DAF" w:rsidRDefault="007812AC" w:rsidP="003B68D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</w:t>
            </w:r>
            <w:r w:rsidRPr="00684DA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  <w:p w:rsidR="007812AC" w:rsidRPr="00684DAF" w:rsidRDefault="007812AC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1" w:type="dxa"/>
          </w:tcPr>
          <w:p w:rsidR="007812AC" w:rsidRPr="00684DAF" w:rsidRDefault="007812AC" w:rsidP="003B68D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AF"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  <w:r w:rsidR="0071363A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,</w:t>
            </w:r>
            <w:r w:rsidRPr="00684DA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  <w:p w:rsidR="007812AC" w:rsidRPr="00684DAF" w:rsidRDefault="007812AC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00CE2" w:rsidRPr="00684DAF" w:rsidRDefault="007812AC" w:rsidP="003A52F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4DAF">
        <w:rPr>
          <w:rFonts w:ascii="Arial" w:eastAsia="Times New Roman" w:hAnsi="Arial" w:cs="Arial"/>
          <w:color w:val="000000"/>
          <w:sz w:val="20"/>
          <w:szCs w:val="20"/>
        </w:rPr>
        <w:t>Извор</w:t>
      </w:r>
      <w:r w:rsidRP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: </w:t>
      </w:r>
      <w:r w:rsidR="009002E8" w:rsidRP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Републички завод за статистику</w:t>
      </w:r>
      <w:r w:rsidR="009A653F" w:rsidRP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(РСЗ)</w:t>
      </w:r>
      <w:r w:rsidR="009002E8" w:rsidRP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,</w:t>
      </w:r>
      <w:r w:rsidRPr="009A653F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 w:rsidRPr="009A653F">
        <w:rPr>
          <w:rFonts w:ascii="Arial" w:hAnsi="Arial" w:cs="Arial"/>
          <w:sz w:val="20"/>
          <w:szCs w:val="20"/>
          <w:lang w:val="sr-Cyrl-RS"/>
        </w:rPr>
        <w:t>јун 2015</w:t>
      </w:r>
      <w:r w:rsidRPr="00684DAF">
        <w:rPr>
          <w:rFonts w:ascii="Arial" w:hAnsi="Arial" w:cs="Arial"/>
          <w:sz w:val="20"/>
          <w:szCs w:val="20"/>
        </w:rPr>
        <w:t>.</w:t>
      </w:r>
    </w:p>
    <w:p w:rsidR="00705CC5" w:rsidRPr="00684DAF" w:rsidRDefault="00705CC5" w:rsidP="003B68D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F0D8B" w:rsidRPr="00684DAF" w:rsidRDefault="006F0D8B" w:rsidP="003B68D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84DAF">
        <w:rPr>
          <w:rFonts w:ascii="Arial" w:eastAsia="Times New Roman" w:hAnsi="Arial" w:cs="Arial"/>
          <w:b/>
          <w:sz w:val="20"/>
          <w:szCs w:val="20"/>
        </w:rPr>
        <w:t>Биљна производња у 2014. години</w:t>
      </w:r>
    </w:p>
    <w:p w:rsidR="006F0D8B" w:rsidRPr="00684DAF" w:rsidRDefault="006F0D8B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54103" w:rsidRPr="0071363A" w:rsidRDefault="00500CE2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71363A">
        <w:rPr>
          <w:rFonts w:ascii="Arial" w:eastAsia="Times New Roman" w:hAnsi="Arial" w:cs="Arial"/>
          <w:sz w:val="20"/>
          <w:szCs w:val="20"/>
          <w:lang w:val="sr-Cyrl-RS"/>
        </w:rPr>
        <w:t>У биљној производњи прошле године</w:t>
      </w:r>
      <w:r w:rsidR="006F0D8B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остварен је раст од 5,6% у однос</w:t>
      </w:r>
      <w:r w:rsidR="0049193A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у на </w:t>
      </w:r>
      <w:r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претходну </w:t>
      </w:r>
      <w:r w:rsidR="0049193A" w:rsidRPr="0071363A">
        <w:rPr>
          <w:rFonts w:ascii="Arial" w:eastAsia="Times New Roman" w:hAnsi="Arial" w:cs="Arial"/>
          <w:sz w:val="20"/>
          <w:szCs w:val="20"/>
          <w:lang w:val="sr-Cyrl-RS"/>
        </w:rPr>
        <w:t>годину, како је приказано у табели 1.</w:t>
      </w:r>
      <w:r w:rsidR="003A52F2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док се у структури култура</w:t>
      </w:r>
      <w:r w:rsidR="0049193A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види да прош</w:t>
      </w:r>
      <w:r w:rsidR="006F0D8B" w:rsidRPr="0071363A">
        <w:rPr>
          <w:rFonts w:ascii="Arial" w:eastAsia="Times New Roman" w:hAnsi="Arial" w:cs="Arial"/>
          <w:sz w:val="20"/>
          <w:szCs w:val="20"/>
          <w:lang w:val="sr-Cyrl-RS"/>
        </w:rPr>
        <w:t>ла година није била повољна када је реч о воћарству и повртарству. У помену</w:t>
      </w:r>
      <w:r w:rsidR="003A52F2" w:rsidRPr="0071363A">
        <w:rPr>
          <w:rFonts w:ascii="Arial" w:eastAsia="Times New Roman" w:hAnsi="Arial" w:cs="Arial"/>
          <w:sz w:val="20"/>
          <w:szCs w:val="20"/>
          <w:lang w:val="sr-Cyrl-RS"/>
        </w:rPr>
        <w:t>тим гранама је дошло до изражен</w:t>
      </w:r>
      <w:r w:rsidR="006F0D8B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ог пада производње (око 20%, како у воћарству тако и повртарству) и </w:t>
      </w:r>
      <w:r w:rsidR="009A653F">
        <w:rPr>
          <w:rFonts w:ascii="Arial" w:eastAsia="Times New Roman" w:hAnsi="Arial" w:cs="Arial"/>
          <w:sz w:val="20"/>
          <w:szCs w:val="20"/>
          <w:lang w:val="sr-Cyrl-RS"/>
        </w:rPr>
        <w:t xml:space="preserve">остварени </w:t>
      </w:r>
      <w:r w:rsidR="006F0D8B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раст укупне биљне производње је резултат рекордних приноса у производњи кукуруза и шећерне репе. </w:t>
      </w:r>
      <w:r w:rsidR="00D54103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</w:p>
    <w:p w:rsidR="0071363A" w:rsidRPr="0071363A" w:rsidRDefault="0071363A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49193A" w:rsidRPr="0071363A" w:rsidRDefault="006F0D8B" w:rsidP="007136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71363A">
        <w:rPr>
          <w:rFonts w:ascii="Arial" w:eastAsia="Times New Roman" w:hAnsi="Arial" w:cs="Arial"/>
          <w:sz w:val="20"/>
          <w:szCs w:val="20"/>
          <w:lang w:val="sr-Cyrl-RS"/>
        </w:rPr>
        <w:t>У сточарству (индекс 100,4), производња гов</w:t>
      </w:r>
      <w:r w:rsidR="003A52F2" w:rsidRPr="0071363A">
        <w:rPr>
          <w:rFonts w:ascii="Arial" w:eastAsia="Times New Roman" w:hAnsi="Arial" w:cs="Arial"/>
          <w:sz w:val="20"/>
          <w:szCs w:val="20"/>
          <w:lang w:val="sr-Cyrl-RS"/>
        </w:rPr>
        <w:t>еда и оваца такође показује пад.</w:t>
      </w:r>
      <w:r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3A52F2" w:rsidRPr="0071363A">
        <w:rPr>
          <w:rFonts w:ascii="Arial" w:eastAsia="Times New Roman" w:hAnsi="Arial" w:cs="Arial"/>
          <w:sz w:val="20"/>
          <w:szCs w:val="20"/>
          <w:lang w:val="sr-Cyrl-RS"/>
        </w:rPr>
        <w:t>Раст производње свиња од око 5% омогућио је да индекс сточарске производње остане  нешто изнад 100, односно на нивоу производње из 2013. године. Прошле године п</w:t>
      </w:r>
      <w:r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роизводња меда готово </w:t>
      </w:r>
      <w:r w:rsidR="003A52F2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је </w:t>
      </w:r>
      <w:r w:rsidRPr="0071363A">
        <w:rPr>
          <w:rFonts w:ascii="Arial" w:eastAsia="Times New Roman" w:hAnsi="Arial" w:cs="Arial"/>
          <w:sz w:val="20"/>
          <w:szCs w:val="20"/>
          <w:lang w:val="sr-Cyrl-RS"/>
        </w:rPr>
        <w:t>преполовљена.</w:t>
      </w:r>
      <w:r w:rsidR="00234309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Детаљнија анализа производње </w:t>
      </w:r>
      <w:r w:rsidR="0071363A" w:rsidRPr="0071363A">
        <w:rPr>
          <w:rFonts w:ascii="Arial" w:eastAsia="Times New Roman" w:hAnsi="Arial" w:cs="Arial"/>
          <w:sz w:val="20"/>
          <w:szCs w:val="20"/>
          <w:lang w:val="sr-Cyrl-RS"/>
        </w:rPr>
        <w:t>меда по годинама приказана је у</w:t>
      </w:r>
      <w:r w:rsidR="002F39AE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234309" w:rsidRPr="0071363A">
        <w:rPr>
          <w:rFonts w:ascii="Arial" w:eastAsia="Times New Roman" w:hAnsi="Arial" w:cs="Arial"/>
          <w:sz w:val="20"/>
          <w:szCs w:val="20"/>
          <w:lang w:val="sr-Cyrl-RS"/>
        </w:rPr>
        <w:t>табели</w:t>
      </w:r>
      <w:r w:rsidR="0071363A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4</w:t>
      </w:r>
      <w:r w:rsidR="00234309" w:rsidRPr="0071363A">
        <w:rPr>
          <w:rFonts w:ascii="Arial" w:eastAsia="Times New Roman" w:hAnsi="Arial" w:cs="Arial"/>
          <w:sz w:val="20"/>
          <w:szCs w:val="20"/>
          <w:lang w:val="sr-Cyrl-RS"/>
        </w:rPr>
        <w:t>, а у прилог наведеној чињеници је податак да је индекс 2014</w:t>
      </w:r>
      <w:r w:rsidR="003A52F2" w:rsidRPr="0071363A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234309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у односу на просечну производњу  2010-13. </w:t>
      </w:r>
      <w:r w:rsidR="002F39AE" w:rsidRPr="0071363A">
        <w:rPr>
          <w:rFonts w:ascii="Arial" w:eastAsia="Times New Roman" w:hAnsi="Arial" w:cs="Arial"/>
          <w:sz w:val="20"/>
          <w:szCs w:val="20"/>
          <w:lang w:val="sr-Cyrl-RS"/>
        </w:rPr>
        <w:t>само 58,86.</w:t>
      </w:r>
    </w:p>
    <w:p w:rsidR="0071363A" w:rsidRPr="0071363A" w:rsidRDefault="00234309" w:rsidP="001F7D33">
      <w:pPr>
        <w:pStyle w:val="Heading1"/>
        <w:rPr>
          <w:lang w:val="sr-Cyrl-RS"/>
        </w:rPr>
      </w:pPr>
      <w:bookmarkStart w:id="4" w:name="_Toc425513121"/>
      <w:r w:rsidRPr="0071363A">
        <w:rPr>
          <w:b/>
          <w:lang w:val="sr-Cyrl-RS"/>
        </w:rPr>
        <w:lastRenderedPageBreak/>
        <w:t xml:space="preserve">Табела </w:t>
      </w:r>
      <w:r w:rsidR="00500CE2" w:rsidRPr="0071363A">
        <w:rPr>
          <w:b/>
          <w:lang w:val="sr-Cyrl-RS"/>
        </w:rPr>
        <w:t xml:space="preserve">4. </w:t>
      </w:r>
      <w:r w:rsidRPr="0071363A">
        <w:rPr>
          <w:lang w:val="sr-Cyrl-RS"/>
        </w:rPr>
        <w:t>Производња меда по годинамa</w:t>
      </w:r>
      <w:r w:rsidR="0071363A" w:rsidRPr="0071363A">
        <w:rPr>
          <w:lang w:val="sr-Cyrl-RS"/>
        </w:rPr>
        <w:t xml:space="preserve"> у хиљадама</w:t>
      </w:r>
      <w:r w:rsidR="00280460" w:rsidRPr="0071363A">
        <w:rPr>
          <w:lang w:val="sr-Cyrl-RS"/>
        </w:rPr>
        <w:t xml:space="preserve"> тона</w:t>
      </w:r>
      <w:r w:rsidR="00580E61">
        <w:rPr>
          <w:lang w:val="sr-Cyrl-RS"/>
        </w:rPr>
        <w:t xml:space="preserve"> -</w:t>
      </w:r>
      <w:r w:rsidR="003A52F2" w:rsidRPr="0071363A">
        <w:rPr>
          <w:lang w:val="sr-Cyrl-RS"/>
        </w:rPr>
        <w:t xml:space="preserve"> </w:t>
      </w:r>
      <w:r w:rsidRPr="0071363A">
        <w:rPr>
          <w:lang w:val="sr-Cyrl-RS"/>
        </w:rPr>
        <w:t>индекси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1121"/>
        <w:gridCol w:w="1121"/>
        <w:gridCol w:w="1121"/>
        <w:gridCol w:w="1121"/>
        <w:gridCol w:w="1143"/>
        <w:gridCol w:w="1372"/>
      </w:tblGrid>
      <w:tr w:rsidR="00234309" w:rsidRPr="00684DAF" w:rsidTr="00622081">
        <w:tc>
          <w:tcPr>
            <w:tcW w:w="1122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121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21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121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121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2014</w:t>
            </w:r>
          </w:p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2014/13</w:t>
            </w:r>
          </w:p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Индекс</w:t>
            </w:r>
          </w:p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4DAF">
              <w:rPr>
                <w:rFonts w:ascii="Arial" w:eastAsia="Times New Roman" w:hAnsi="Arial" w:cs="Arial"/>
                <w:sz w:val="20"/>
                <w:szCs w:val="20"/>
              </w:rPr>
              <w:t>2014/просек 2010-13</w:t>
            </w:r>
          </w:p>
        </w:tc>
      </w:tr>
      <w:tr w:rsidR="00234309" w:rsidRPr="00684DAF" w:rsidTr="00622081">
        <w:tc>
          <w:tcPr>
            <w:tcW w:w="1122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121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7.0</w:t>
            </w:r>
          </w:p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1121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121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143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51.16</w:t>
            </w:r>
          </w:p>
        </w:tc>
        <w:tc>
          <w:tcPr>
            <w:tcW w:w="1372" w:type="dxa"/>
          </w:tcPr>
          <w:p w:rsidR="00234309" w:rsidRPr="00684DAF" w:rsidRDefault="00234309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58.86</w:t>
            </w:r>
          </w:p>
        </w:tc>
      </w:tr>
    </w:tbl>
    <w:p w:rsidR="00234309" w:rsidRPr="001F7D33" w:rsidRDefault="00234309" w:rsidP="003B68D9">
      <w:pPr>
        <w:spacing w:line="360" w:lineRule="auto"/>
        <w:rPr>
          <w:rFonts w:ascii="Arial" w:hAnsi="Arial" w:cs="Arial"/>
          <w:sz w:val="20"/>
          <w:szCs w:val="20"/>
          <w:lang w:val="sr-Cyrl-RS"/>
        </w:rPr>
      </w:pPr>
      <w:r w:rsidRPr="00684DAF">
        <w:rPr>
          <w:rFonts w:ascii="Arial" w:hAnsi="Arial" w:cs="Arial"/>
          <w:sz w:val="20"/>
          <w:szCs w:val="20"/>
        </w:rPr>
        <w:t xml:space="preserve">Извор: РЗС; МАТ, Табела:  Сточарска производња у </w:t>
      </w:r>
      <w:r w:rsidRPr="001F7D33">
        <w:rPr>
          <w:rFonts w:ascii="Arial" w:hAnsi="Arial" w:cs="Arial"/>
          <w:sz w:val="20"/>
          <w:szCs w:val="20"/>
          <w:lang w:val="sr-Cyrl-RS"/>
        </w:rPr>
        <w:t>Репу</w:t>
      </w:r>
      <w:r w:rsidR="001F7D33" w:rsidRPr="001F7D33">
        <w:rPr>
          <w:rFonts w:ascii="Arial" w:hAnsi="Arial" w:cs="Arial"/>
          <w:sz w:val="20"/>
          <w:szCs w:val="20"/>
          <w:lang w:val="sr-Cyrl-RS"/>
        </w:rPr>
        <w:t>блици Србији</w:t>
      </w:r>
      <w:r w:rsidR="001F7D33">
        <w:rPr>
          <w:rFonts w:ascii="Arial" w:hAnsi="Arial" w:cs="Arial"/>
          <w:sz w:val="20"/>
          <w:szCs w:val="20"/>
        </w:rPr>
        <w:t>, 2010-2014.</w:t>
      </w:r>
    </w:p>
    <w:p w:rsidR="00114870" w:rsidRPr="0071363A" w:rsidRDefault="006F0D8B" w:rsidP="007136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У табели </w:t>
      </w:r>
      <w:r w:rsidR="001F7D33">
        <w:rPr>
          <w:rFonts w:ascii="Arial" w:eastAsia="Times New Roman" w:hAnsi="Arial" w:cs="Arial"/>
          <w:sz w:val="20"/>
          <w:szCs w:val="20"/>
          <w:lang w:val="sr-Cyrl-RS"/>
        </w:rPr>
        <w:t>5.</w:t>
      </w:r>
      <w:r w:rsidR="0049193A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приказане </w:t>
      </w:r>
      <w:r w:rsidR="0049193A"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су </w:t>
      </w:r>
      <w:r w:rsidR="00C43345" w:rsidRPr="0071363A">
        <w:rPr>
          <w:rFonts w:ascii="Arial" w:eastAsia="Times New Roman" w:hAnsi="Arial" w:cs="Arial"/>
          <w:sz w:val="20"/>
          <w:szCs w:val="20"/>
          <w:lang w:val="sr-Cyrl-RS"/>
        </w:rPr>
        <w:t>пожњевене површине у хектарима</w:t>
      </w:r>
      <w:r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 различитих култура као и одговарајући индекси</w:t>
      </w:r>
      <w:r w:rsidRPr="001F7D33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</w:p>
    <w:p w:rsidR="0071363A" w:rsidRPr="001F7D33" w:rsidRDefault="00C43345" w:rsidP="001F7D33">
      <w:pPr>
        <w:pStyle w:val="Heading1"/>
        <w:rPr>
          <w:rFonts w:eastAsia="Times New Roman"/>
          <w:lang w:val="sr-Cyrl-RS"/>
        </w:rPr>
      </w:pPr>
      <w:bookmarkStart w:id="5" w:name="_Toc425513122"/>
      <w:r w:rsidRPr="0071363A">
        <w:rPr>
          <w:b/>
          <w:lang w:val="sr-Cyrl-RS"/>
        </w:rPr>
        <w:t xml:space="preserve">Табела </w:t>
      </w:r>
      <w:r w:rsidR="00500CE2" w:rsidRPr="0071363A">
        <w:rPr>
          <w:b/>
          <w:lang w:val="sr-Cyrl-RS"/>
        </w:rPr>
        <w:t>5.</w:t>
      </w:r>
      <w:r w:rsidR="008B43D2" w:rsidRPr="0071363A">
        <w:rPr>
          <w:b/>
          <w:lang w:val="sr-Cyrl-RS"/>
        </w:rPr>
        <w:t xml:space="preserve"> </w:t>
      </w:r>
      <w:r w:rsidRPr="0071363A">
        <w:rPr>
          <w:rFonts w:eastAsia="Times New Roman"/>
          <w:lang w:val="sr-Cyrl-RS"/>
        </w:rPr>
        <w:t>Пожњевене површине</w:t>
      </w:r>
      <w:r w:rsidR="0071363A" w:rsidRPr="0071363A">
        <w:rPr>
          <w:rFonts w:eastAsia="Times New Roman"/>
          <w:lang w:val="sr-Cyrl-RS"/>
        </w:rPr>
        <w:t xml:space="preserve"> (</w:t>
      </w:r>
      <w:r w:rsidR="00E21BA0">
        <w:rPr>
          <w:rFonts w:eastAsia="Times New Roman"/>
          <w:lang w:val="sr-Cyrl-RS"/>
        </w:rPr>
        <w:t>у хек</w:t>
      </w:r>
      <w:r w:rsidR="0071363A" w:rsidRPr="0071363A">
        <w:rPr>
          <w:rFonts w:eastAsia="Times New Roman"/>
          <w:lang w:val="sr-Cyrl-RS"/>
        </w:rPr>
        <w:t>т</w:t>
      </w:r>
      <w:r w:rsidR="00E21BA0">
        <w:rPr>
          <w:rFonts w:eastAsia="Times New Roman"/>
          <w:lang w:val="sr-Cyrl-RS"/>
        </w:rPr>
        <w:t>ар</w:t>
      </w:r>
      <w:r w:rsidR="0071363A" w:rsidRPr="0071363A">
        <w:rPr>
          <w:rFonts w:eastAsia="Times New Roman"/>
          <w:lang w:val="sr-Cyrl-RS"/>
        </w:rPr>
        <w:t>има</w:t>
      </w:r>
      <w:r w:rsidR="0071363A">
        <w:rPr>
          <w:rFonts w:eastAsia="Times New Roman"/>
          <w:lang w:val="sr-Cyrl-RS"/>
        </w:rPr>
        <w:t>) -</w:t>
      </w:r>
      <w:r w:rsidR="00114870" w:rsidRPr="0071363A">
        <w:rPr>
          <w:rFonts w:eastAsia="Times New Roman"/>
          <w:lang w:val="sr-Cyrl-RS"/>
        </w:rPr>
        <w:t xml:space="preserve"> </w:t>
      </w:r>
      <w:r w:rsidR="00280460" w:rsidRPr="0071363A">
        <w:rPr>
          <w:rFonts w:eastAsia="Times New Roman"/>
          <w:lang w:val="sr-Cyrl-RS"/>
        </w:rPr>
        <w:t xml:space="preserve"> </w:t>
      </w:r>
      <w:r w:rsidRPr="0071363A">
        <w:rPr>
          <w:rFonts w:eastAsia="Times New Roman"/>
          <w:lang w:val="sr-Cyrl-RS"/>
        </w:rPr>
        <w:t>индекс</w:t>
      </w:r>
      <w:r w:rsidR="00114870" w:rsidRPr="0071363A">
        <w:rPr>
          <w:rFonts w:eastAsia="Times New Roman"/>
          <w:lang w:val="sr-Cyrl-RS"/>
        </w:rPr>
        <w:t>и</w:t>
      </w:r>
      <w:r w:rsidRPr="0071363A">
        <w:rPr>
          <w:rFonts w:eastAsia="Times New Roman"/>
          <w:lang w:val="sr-Cyrl-RS"/>
        </w:rPr>
        <w:t xml:space="preserve">  2013-2014.</w:t>
      </w:r>
      <w:bookmarkEnd w:id="5"/>
      <w:r w:rsidRPr="0071363A">
        <w:rPr>
          <w:rFonts w:eastAsia="Times New Roman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1"/>
      </w:tblGrid>
      <w:tr w:rsidR="00C43345" w:rsidRPr="00684DAF" w:rsidTr="00622081">
        <w:tc>
          <w:tcPr>
            <w:tcW w:w="1540" w:type="dxa"/>
          </w:tcPr>
          <w:p w:rsidR="00C43345" w:rsidRPr="0071363A" w:rsidRDefault="00C43345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2014.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2013.</w:t>
            </w:r>
          </w:p>
        </w:tc>
        <w:tc>
          <w:tcPr>
            <w:tcW w:w="1541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Индекс  2014/2013</w:t>
            </w:r>
          </w:p>
        </w:tc>
      </w:tr>
      <w:tr w:rsidR="00C43345" w:rsidRPr="00684DAF" w:rsidTr="00622081"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 xml:space="preserve"> Жита 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1 816 676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1 758 373</w:t>
            </w:r>
          </w:p>
        </w:tc>
        <w:tc>
          <w:tcPr>
            <w:tcW w:w="1541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103.3</w:t>
            </w:r>
          </w:p>
        </w:tc>
      </w:tr>
      <w:tr w:rsidR="00C43345" w:rsidRPr="00684DAF" w:rsidTr="00622081"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4548">
              <w:rPr>
                <w:rStyle w:val="NoSpacingChar"/>
                <w:rFonts w:ascii="Arial" w:hAnsi="Arial" w:cs="Arial"/>
                <w:sz w:val="20"/>
                <w:szCs w:val="20"/>
                <w:lang w:val="sr-Cyrl-RS"/>
              </w:rPr>
              <w:t>Индустријско биљ</w:t>
            </w:r>
            <w:r w:rsidRPr="00724548">
              <w:rPr>
                <w:rFonts w:ascii="Arial" w:hAnsi="Arial" w:cs="Arial"/>
                <w:sz w:val="20"/>
                <w:szCs w:val="20"/>
                <w:lang w:val="sr-Cyrl-RS"/>
              </w:rPr>
              <w:t xml:space="preserve">е 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410 335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432 618</w:t>
            </w:r>
          </w:p>
        </w:tc>
        <w:tc>
          <w:tcPr>
            <w:tcW w:w="1541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94.8</w:t>
            </w:r>
          </w:p>
        </w:tc>
      </w:tr>
      <w:tr w:rsidR="00C43345" w:rsidRPr="00684DAF" w:rsidTr="00622081"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Поврће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130 398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130 853</w:t>
            </w:r>
          </w:p>
        </w:tc>
        <w:tc>
          <w:tcPr>
            <w:tcW w:w="1541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99.7</w:t>
            </w:r>
          </w:p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345" w:rsidRPr="00684DAF" w:rsidTr="00622081"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 xml:space="preserve">Воћарство     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160 491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161 717</w:t>
            </w:r>
          </w:p>
        </w:tc>
        <w:tc>
          <w:tcPr>
            <w:tcW w:w="1541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99.2</w:t>
            </w:r>
          </w:p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345" w:rsidRPr="00684DAF" w:rsidTr="00622081"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 xml:space="preserve">Виногради   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22 150</w:t>
            </w:r>
          </w:p>
        </w:tc>
        <w:tc>
          <w:tcPr>
            <w:tcW w:w="1540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22 150</w:t>
            </w:r>
          </w:p>
        </w:tc>
        <w:tc>
          <w:tcPr>
            <w:tcW w:w="1541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100.0</w:t>
            </w:r>
          </w:p>
        </w:tc>
      </w:tr>
    </w:tbl>
    <w:p w:rsidR="006F0D8B" w:rsidRPr="00684DAF" w:rsidRDefault="00C43345" w:rsidP="00055493">
      <w:pPr>
        <w:spacing w:line="360" w:lineRule="auto"/>
        <w:rPr>
          <w:rFonts w:ascii="Arial" w:hAnsi="Arial" w:cs="Arial"/>
          <w:sz w:val="20"/>
          <w:szCs w:val="20"/>
        </w:rPr>
      </w:pPr>
      <w:r w:rsidRPr="00684DAF">
        <w:rPr>
          <w:rFonts w:ascii="Arial" w:hAnsi="Arial" w:cs="Arial"/>
          <w:sz w:val="20"/>
          <w:szCs w:val="20"/>
        </w:rPr>
        <w:t>Извор: РЗС; МАТ, стр 23.</w:t>
      </w:r>
    </w:p>
    <w:p w:rsidR="006F0D8B" w:rsidRPr="00684DAF" w:rsidRDefault="006F0D8B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84DAF">
        <w:rPr>
          <w:rFonts w:ascii="Arial" w:eastAsia="Times New Roman" w:hAnsi="Arial" w:cs="Arial"/>
          <w:sz w:val="20"/>
          <w:szCs w:val="20"/>
        </w:rPr>
        <w:t xml:space="preserve">Ако изузмемо површине под виноградима и воћњацима, у Републици Србији је у 2014. години било пожњевено 2.586.191 ха у поређењу са 2.579.495 ха у 2013. години (0,3% више) од чега се око 70% односи на житарице, пре свега кукуруз (1.057.877 ха) и пшеницу (604.748 ха). Прошла година је била добра када је реч о производњи  кукуруза, са рекордних 7,5 милиона тона о чему говоре индекси, како у погледу засејаних површина (107,9), просечног приноса по хектару (125,7) тако и производње (135,6) и извоза (245,6) који је више него удвостручен у односу на 2013. годину. </w:t>
      </w:r>
    </w:p>
    <w:p w:rsidR="006F0D8B" w:rsidRPr="00684DAF" w:rsidRDefault="006F0D8B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F0D8B" w:rsidRPr="00684DAF" w:rsidRDefault="006F0D8B" w:rsidP="003B68D9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84DAF">
        <w:rPr>
          <w:rFonts w:ascii="Arial" w:eastAsia="Times New Roman" w:hAnsi="Arial" w:cs="Arial"/>
          <w:sz w:val="20"/>
          <w:szCs w:val="20"/>
        </w:rPr>
        <w:t>Истовремено, пад производње пшенице износио је око 11%, док је извоз више него преполовљен (индекс 34,6) што је последица оријентације наших пољопривредника на кукуруз.</w:t>
      </w:r>
    </w:p>
    <w:p w:rsidR="006F0D8B" w:rsidRPr="00684DAF" w:rsidRDefault="006F0D8B" w:rsidP="003B68D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4DAF">
        <w:rPr>
          <w:rFonts w:ascii="Arial" w:eastAsia="Times New Roman" w:hAnsi="Arial" w:cs="Arial"/>
          <w:sz w:val="20"/>
          <w:szCs w:val="20"/>
        </w:rPr>
        <w:t xml:space="preserve">Када је реч о уљарицама и индустријском биљу, на мање засејаним површинама, остварени су релативно добри резултати нарочито у производњи соје (0,5 мил. тона; индекс производње – 141,7). Производња шећерне репе (3,5 мил. тона) са рекордним приносима који су чак довели и до застоја у откупу и преради шећера, увећана је за око 10% док је производња сунцокрета као доминантне културе по засејаним површинама у овој </w:t>
      </w:r>
      <w:r w:rsidRPr="00684DAF">
        <w:rPr>
          <w:rFonts w:ascii="Arial" w:hAnsi="Arial" w:cs="Arial"/>
          <w:sz w:val="20"/>
          <w:szCs w:val="20"/>
        </w:rPr>
        <w:t>групи пољопривр</w:t>
      </w:r>
      <w:r w:rsidR="00155E89">
        <w:rPr>
          <w:rFonts w:ascii="Arial" w:hAnsi="Arial" w:cs="Arial"/>
          <w:sz w:val="20"/>
          <w:szCs w:val="20"/>
        </w:rPr>
        <w:t xml:space="preserve">едних производа на нивоу 2013. </w:t>
      </w:r>
      <w:r w:rsidR="00155E89" w:rsidRPr="00155E89">
        <w:rPr>
          <w:rFonts w:ascii="Arial" w:hAnsi="Arial" w:cs="Arial"/>
          <w:sz w:val="20"/>
          <w:szCs w:val="20"/>
          <w:lang w:val="sr-Cyrl-RS"/>
        </w:rPr>
        <w:t>године</w:t>
      </w:r>
      <w:r w:rsidR="00155E89">
        <w:rPr>
          <w:rFonts w:ascii="Arial" w:hAnsi="Arial" w:cs="Arial"/>
          <w:sz w:val="20"/>
          <w:szCs w:val="20"/>
        </w:rPr>
        <w:t xml:space="preserve"> </w:t>
      </w:r>
      <w:r w:rsidR="00155E89" w:rsidRPr="00155E89">
        <w:rPr>
          <w:rFonts w:ascii="Arial" w:hAnsi="Arial" w:cs="Arial"/>
          <w:sz w:val="20"/>
          <w:szCs w:val="20"/>
          <w:lang w:val="sr-Cyrl-RS"/>
        </w:rPr>
        <w:t>са 0,5 милиона</w:t>
      </w:r>
      <w:r w:rsidRPr="00155E89">
        <w:rPr>
          <w:rFonts w:ascii="Arial" w:hAnsi="Arial" w:cs="Arial"/>
          <w:sz w:val="20"/>
          <w:szCs w:val="20"/>
          <w:lang w:val="sr-Cyrl-RS"/>
        </w:rPr>
        <w:t xml:space="preserve"> тона.</w:t>
      </w:r>
    </w:p>
    <w:p w:rsidR="006F0D8B" w:rsidRPr="00684DAF" w:rsidRDefault="006F0D8B" w:rsidP="003B68D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B4D0F" w:rsidRPr="00155E89" w:rsidRDefault="006F0D8B" w:rsidP="003B68D9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684DAF">
        <w:rPr>
          <w:rFonts w:ascii="Arial" w:eastAsia="Times New Roman" w:hAnsi="Arial" w:cs="Arial"/>
          <w:sz w:val="20"/>
          <w:szCs w:val="20"/>
        </w:rPr>
        <w:t xml:space="preserve">Уколико се анализира производња најважнијих биљних култура у петогодогишњој динамици 2010-2014. </w:t>
      </w:r>
      <w:proofErr w:type="gramStart"/>
      <w:r w:rsidR="0049193A" w:rsidRPr="00684DAF">
        <w:rPr>
          <w:rFonts w:ascii="Arial" w:eastAsia="Times New Roman" w:hAnsi="Arial" w:cs="Arial"/>
          <w:sz w:val="20"/>
          <w:szCs w:val="20"/>
        </w:rPr>
        <w:t>з</w:t>
      </w:r>
      <w:r w:rsidRPr="00684DAF">
        <w:rPr>
          <w:rFonts w:ascii="Arial" w:eastAsia="Times New Roman" w:hAnsi="Arial" w:cs="Arial"/>
          <w:sz w:val="20"/>
          <w:szCs w:val="20"/>
        </w:rPr>
        <w:t>абрињавајући</w:t>
      </w:r>
      <w:proofErr w:type="gramEnd"/>
      <w:r w:rsidRPr="00684DAF">
        <w:rPr>
          <w:rFonts w:ascii="Arial" w:eastAsia="Times New Roman" w:hAnsi="Arial" w:cs="Arial"/>
          <w:sz w:val="20"/>
          <w:szCs w:val="20"/>
        </w:rPr>
        <w:t xml:space="preserve"> податак је да  производња поврћа има опадајући тренд</w:t>
      </w:r>
      <w:r w:rsidR="0049193A" w:rsidRPr="00684DAF">
        <w:rPr>
          <w:rFonts w:ascii="Arial" w:eastAsia="Times New Roman" w:hAnsi="Arial" w:cs="Arial"/>
          <w:sz w:val="20"/>
          <w:szCs w:val="20"/>
        </w:rPr>
        <w:t>, наводи се у најновијем истраживању</w:t>
      </w:r>
      <w:r w:rsidRPr="00684DAF">
        <w:rPr>
          <w:rFonts w:ascii="Arial" w:eastAsia="Times New Roman" w:hAnsi="Arial" w:cs="Arial"/>
          <w:sz w:val="20"/>
          <w:szCs w:val="20"/>
        </w:rPr>
        <w:t>.</w:t>
      </w:r>
      <w:r w:rsidR="0049193A" w:rsidRPr="00684DAF">
        <w:rPr>
          <w:rStyle w:val="FootnoteReference"/>
          <w:rFonts w:ascii="Arial" w:eastAsia="Times New Roman" w:hAnsi="Arial" w:cs="Arial"/>
          <w:sz w:val="20"/>
          <w:szCs w:val="20"/>
        </w:rPr>
        <w:footnoteReference w:id="5"/>
      </w:r>
      <w:r w:rsidRPr="00684DAF">
        <w:rPr>
          <w:rFonts w:ascii="Arial" w:eastAsia="Times New Roman" w:hAnsi="Arial" w:cs="Arial"/>
          <w:sz w:val="20"/>
          <w:szCs w:val="20"/>
        </w:rPr>
        <w:t xml:space="preserve"> </w:t>
      </w:r>
      <w:r w:rsidRPr="00155E89">
        <w:rPr>
          <w:rFonts w:ascii="Arial" w:eastAsia="Times New Roman" w:hAnsi="Arial" w:cs="Arial"/>
          <w:sz w:val="20"/>
          <w:szCs w:val="20"/>
          <w:lang w:val="sr-Cyrl-CS"/>
        </w:rPr>
        <w:t>Истовремено</w:t>
      </w:r>
      <w:r w:rsidR="00155E89" w:rsidRPr="00155E89">
        <w:rPr>
          <w:rFonts w:ascii="Arial" w:eastAsia="Times New Roman" w:hAnsi="Arial" w:cs="Arial"/>
          <w:sz w:val="20"/>
          <w:szCs w:val="20"/>
          <w:lang w:val="sr-Cyrl-CS"/>
        </w:rPr>
        <w:t>,</w:t>
      </w:r>
      <w:r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 доминантне културе (кукуруз и шећерна репа) показују изражене осцилације. </w:t>
      </w:r>
      <w:r w:rsidR="0064350E" w:rsidRPr="00155E89">
        <w:rPr>
          <w:rFonts w:ascii="Arial" w:eastAsia="Times New Roman" w:hAnsi="Arial" w:cs="Arial"/>
          <w:sz w:val="20"/>
          <w:szCs w:val="20"/>
          <w:lang w:val="sr-Cyrl-CS"/>
        </w:rPr>
        <w:t>Наводи се да је</w:t>
      </w:r>
      <w:r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 производња кукуруза 2012</w:t>
      </w:r>
      <w:r w:rsidR="00155E89"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. године преполовљена, да би </w:t>
      </w:r>
      <w:r w:rsidRPr="00155E89">
        <w:rPr>
          <w:rFonts w:ascii="Arial" w:eastAsia="Times New Roman" w:hAnsi="Arial" w:cs="Arial"/>
          <w:sz w:val="20"/>
          <w:szCs w:val="20"/>
          <w:lang w:val="sr-Cyrl-CS"/>
        </w:rPr>
        <w:t>у 2014. години била рекордна</w:t>
      </w:r>
      <w:r w:rsidR="0064350E" w:rsidRPr="00155E89">
        <w:rPr>
          <w:rFonts w:ascii="Arial" w:eastAsia="Times New Roman" w:hAnsi="Arial" w:cs="Arial"/>
          <w:sz w:val="20"/>
          <w:szCs w:val="20"/>
          <w:lang w:val="sr-Cyrl-CS"/>
        </w:rPr>
        <w:t>, што указује на нестабилност</w:t>
      </w:r>
      <w:r w:rsidR="00155E89"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 и повишен</w:t>
      </w:r>
      <w:r w:rsidR="00155E89">
        <w:rPr>
          <w:rFonts w:ascii="Arial" w:eastAsia="Times New Roman" w:hAnsi="Arial" w:cs="Arial"/>
          <w:sz w:val="20"/>
          <w:szCs w:val="20"/>
          <w:lang w:val="sr-Cyrl-CS"/>
        </w:rPr>
        <w:t>и ризиик</w:t>
      </w:r>
      <w:r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 производње у аграру</w:t>
      </w:r>
      <w:r w:rsidR="0064350E" w:rsidRPr="00155E89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64350E" w:rsidRPr="00684DAF">
        <w:rPr>
          <w:rStyle w:val="FootnoteReference"/>
          <w:rFonts w:ascii="Arial" w:eastAsia="Times New Roman" w:hAnsi="Arial" w:cs="Arial"/>
          <w:sz w:val="20"/>
          <w:szCs w:val="20"/>
        </w:rPr>
        <w:footnoteReference w:id="6"/>
      </w:r>
      <w:r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 Посебан проблем, када је реч о структури пољопривредне производње у Републици Србији, је што су  доминантне аграрне културе тзв. „базни продукти“ (житарице и уљарице) чије се цене одређују на светским берзама што се неминовно одражава и на цене са којима ће трговци изаћи пред наше пољопривреднике и који у крајњој инстанци одређују профитабилност домаће производње која већ балансира на „преломној тачки рентабилности“.</w:t>
      </w:r>
      <w:r w:rsidRPr="00684DAF">
        <w:rPr>
          <w:rStyle w:val="FootnoteReference"/>
          <w:rFonts w:ascii="Arial" w:eastAsia="Times New Roman" w:hAnsi="Arial" w:cs="Arial"/>
          <w:sz w:val="20"/>
          <w:szCs w:val="20"/>
        </w:rPr>
        <w:footnoteReference w:id="7"/>
      </w:r>
      <w:r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  Овај фактор ризика је значајан има</w:t>
      </w:r>
      <w:r w:rsidR="00155E89" w:rsidRPr="00155E89">
        <w:rPr>
          <w:rFonts w:ascii="Arial" w:eastAsia="Times New Roman" w:hAnsi="Arial" w:cs="Arial"/>
          <w:sz w:val="20"/>
          <w:szCs w:val="20"/>
          <w:lang w:val="sr-Cyrl-CS"/>
        </w:rPr>
        <w:t>јући у виду чињеницу да ће се с</w:t>
      </w:r>
      <w:r w:rsidR="00155E89">
        <w:rPr>
          <w:rFonts w:ascii="Arial" w:eastAsia="Times New Roman" w:hAnsi="Arial" w:cs="Arial"/>
          <w:sz w:val="20"/>
          <w:szCs w:val="20"/>
          <w:lang w:val="sr-Cyrl-RS"/>
        </w:rPr>
        <w:t>и</w:t>
      </w:r>
      <w:r w:rsidRPr="00155E89">
        <w:rPr>
          <w:rFonts w:ascii="Arial" w:eastAsia="Times New Roman" w:hAnsi="Arial" w:cs="Arial"/>
          <w:sz w:val="20"/>
          <w:szCs w:val="20"/>
          <w:lang w:val="sr-Cyrl-CS"/>
        </w:rPr>
        <w:t>стем субвенцион</w:t>
      </w:r>
      <w:r w:rsidR="005F29F7"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исања пољопривреде пооштрити у </w:t>
      </w:r>
      <w:r w:rsidRPr="00155E89">
        <w:rPr>
          <w:rFonts w:ascii="Arial" w:eastAsia="Times New Roman" w:hAnsi="Arial" w:cs="Arial"/>
          <w:sz w:val="20"/>
          <w:szCs w:val="20"/>
          <w:lang w:val="sr-Cyrl-CS"/>
        </w:rPr>
        <w:t>наступајућем периоду током  процеса</w:t>
      </w:r>
      <w:r w:rsidR="00A011E6"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 интегра</w:t>
      </w:r>
      <w:r w:rsidR="00155E89">
        <w:rPr>
          <w:rFonts w:ascii="Arial" w:eastAsia="Times New Roman" w:hAnsi="Arial" w:cs="Arial"/>
          <w:sz w:val="20"/>
          <w:szCs w:val="20"/>
          <w:lang w:val="sr-Cyrl-CS"/>
        </w:rPr>
        <w:t>ције у ЗПП ЕУ</w:t>
      </w:r>
      <w:r w:rsidR="00A011E6" w:rsidRPr="00155E89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055493" w:rsidRDefault="005F29F7" w:rsidP="0011487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155E89">
        <w:rPr>
          <w:rFonts w:ascii="Arial" w:eastAsia="Times New Roman" w:hAnsi="Arial" w:cs="Arial"/>
          <w:sz w:val="20"/>
          <w:szCs w:val="20"/>
          <w:lang w:val="sr-Cyrl-CS"/>
        </w:rPr>
        <w:t xml:space="preserve">Према подацима </w:t>
      </w:r>
      <w:r w:rsidRPr="00155E89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из За</w:t>
      </w:r>
      <w:r w:rsidR="00155E89" w:rsidRPr="00155E89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кона о буџету РС за 2014. годин</w:t>
      </w:r>
      <w:r w:rsidR="00155E89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у</w:t>
      </w:r>
      <w:r w:rsidRPr="00155E89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, Министарство пољопривреде, шумарства и водоприв</w:t>
      </w:r>
      <w:r w:rsidR="00155E89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реде располаже са 4,15% укупни</w:t>
      </w:r>
      <w:r w:rsidRPr="00155E89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х биџетских средстава. </w:t>
      </w:r>
      <w:r w:rsidRPr="00155E89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Од </w:t>
      </w:r>
      <w:r w:rsidRPr="00155E89">
        <w:rPr>
          <w:rFonts w:ascii="Arial" w:eastAsia="Times New Roman" w:hAnsi="Arial" w:cs="Arial"/>
          <w:sz w:val="20"/>
          <w:szCs w:val="20"/>
          <w:lang w:val="sr-Cyrl-RS"/>
        </w:rPr>
        <w:t xml:space="preserve">укупног износа субвенција у </w:t>
      </w:r>
      <w:r w:rsidRPr="004B2D4E">
        <w:rPr>
          <w:rFonts w:ascii="Arial" w:eastAsia="Times New Roman" w:hAnsi="Arial" w:cs="Arial"/>
          <w:sz w:val="20"/>
          <w:szCs w:val="20"/>
          <w:lang w:val="sr-Cyrl-CS"/>
        </w:rPr>
        <w:t xml:space="preserve">2014. </w:t>
      </w:r>
      <w:r w:rsidR="009002E8" w:rsidRPr="004B2D4E">
        <w:rPr>
          <w:rFonts w:ascii="Arial" w:eastAsia="Times New Roman" w:hAnsi="Arial" w:cs="Arial"/>
          <w:sz w:val="20"/>
          <w:szCs w:val="20"/>
          <w:lang w:val="sr-Cyrl-CS"/>
        </w:rPr>
        <w:t>г</w:t>
      </w:r>
      <w:r w:rsidRPr="004B2D4E">
        <w:rPr>
          <w:rFonts w:ascii="Arial" w:eastAsia="Times New Roman" w:hAnsi="Arial" w:cs="Arial"/>
          <w:sz w:val="20"/>
          <w:szCs w:val="20"/>
          <w:lang w:val="sr-Cyrl-CS"/>
        </w:rPr>
        <w:t>одини</w:t>
      </w:r>
      <w:r w:rsidR="009002E8" w:rsidRPr="004B2D4E">
        <w:rPr>
          <w:rFonts w:ascii="Arial" w:eastAsia="Times New Roman" w:hAnsi="Arial" w:cs="Arial"/>
          <w:sz w:val="20"/>
          <w:szCs w:val="20"/>
          <w:lang w:val="sr-Cyrl-CS"/>
        </w:rPr>
        <w:t xml:space="preserve"> (</w:t>
      </w:r>
      <w:r w:rsidR="009002E8" w:rsidRPr="004B2D4E">
        <w:rPr>
          <w:rFonts w:ascii="Arial" w:hAnsi="Arial" w:cs="Arial"/>
          <w:sz w:val="20"/>
          <w:szCs w:val="20"/>
          <w:lang w:val="sr-Cyrl-CS"/>
        </w:rPr>
        <w:t>80.936.049.000 РСД)</w:t>
      </w:r>
      <w:r w:rsidR="009002E8" w:rsidRPr="004B2D4E">
        <w:rPr>
          <w:rFonts w:ascii="Arial" w:eastAsia="Times New Roman" w:hAnsi="Arial" w:cs="Arial"/>
          <w:sz w:val="20"/>
          <w:szCs w:val="20"/>
          <w:lang w:val="sr-Cyrl-CS"/>
        </w:rPr>
        <w:t xml:space="preserve">  с</w:t>
      </w:r>
      <w:r w:rsidRPr="004B2D4E">
        <w:rPr>
          <w:rFonts w:ascii="Arial" w:hAnsi="Arial" w:cs="Arial"/>
          <w:sz w:val="20"/>
          <w:szCs w:val="20"/>
          <w:lang w:val="sr-Cyrl-CS"/>
        </w:rPr>
        <w:t xml:space="preserve">убвенције у пољопривреди у буџету РС 2014. </w:t>
      </w:r>
      <w:r w:rsidRPr="00155E89">
        <w:rPr>
          <w:rFonts w:ascii="Arial" w:hAnsi="Arial" w:cs="Arial"/>
          <w:sz w:val="20"/>
          <w:szCs w:val="20"/>
          <w:lang w:val="sr-Cyrl-RS"/>
        </w:rPr>
        <w:t>године износиле су</w:t>
      </w:r>
      <w:r w:rsidRPr="004B2D4E">
        <w:rPr>
          <w:rFonts w:ascii="Arial" w:hAnsi="Arial" w:cs="Arial"/>
          <w:sz w:val="20"/>
          <w:szCs w:val="20"/>
          <w:lang w:val="sr-Cyrl-CS"/>
        </w:rPr>
        <w:t xml:space="preserve"> 34.952.136.000 РСД</w:t>
      </w:r>
      <w:r w:rsidR="009002E8" w:rsidRPr="004B2D4E">
        <w:rPr>
          <w:rFonts w:ascii="Arial" w:hAnsi="Arial" w:cs="Arial"/>
          <w:sz w:val="20"/>
          <w:szCs w:val="20"/>
          <w:lang w:val="sr-Cyrl-CS"/>
        </w:rPr>
        <w:t>.</w:t>
      </w:r>
    </w:p>
    <w:p w:rsidR="00155E89" w:rsidRPr="00155E89" w:rsidRDefault="00155E89" w:rsidP="0011487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D550DB" w:rsidRPr="00155E89" w:rsidRDefault="006F0D8B" w:rsidP="0011487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155E89">
        <w:rPr>
          <w:rFonts w:ascii="Arial" w:hAnsi="Arial" w:cs="Arial"/>
          <w:b/>
          <w:bCs/>
          <w:sz w:val="20"/>
          <w:szCs w:val="20"/>
          <w:lang w:val="sr-Cyrl-RS"/>
        </w:rPr>
        <w:t>Извоз и увоз воћа и поврћа</w:t>
      </w:r>
    </w:p>
    <w:p w:rsidR="00D550DB" w:rsidRPr="004B2D4E" w:rsidRDefault="00D550DB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155E89">
        <w:rPr>
          <w:rFonts w:ascii="Arial" w:eastAsia="Times New Roman" w:hAnsi="Arial" w:cs="Arial"/>
          <w:sz w:val="20"/>
          <w:szCs w:val="20"/>
          <w:lang w:val="sr-Cyrl-RS"/>
        </w:rPr>
        <w:t>Када је реч о спољно-трговинском промету, агро-бизнис Републике Србије је у 2014</w:t>
      </w:r>
      <w:r w:rsidRPr="004B2D4E">
        <w:rPr>
          <w:rFonts w:ascii="Arial" w:eastAsia="Times New Roman" w:hAnsi="Arial" w:cs="Arial"/>
          <w:sz w:val="20"/>
          <w:szCs w:val="20"/>
          <w:lang w:val="sr-Cyrl-RS"/>
        </w:rPr>
        <w:t>. години остварио око 2 милијарде прихода од извоза</w:t>
      </w:r>
      <w:r w:rsidRPr="00684DAF">
        <w:rPr>
          <w:rStyle w:val="FootnoteReference"/>
          <w:rFonts w:ascii="Arial" w:eastAsia="Times New Roman" w:hAnsi="Arial" w:cs="Arial"/>
          <w:sz w:val="20"/>
          <w:szCs w:val="20"/>
        </w:rPr>
        <w:footnoteReference w:id="8"/>
      </w:r>
      <w:r w:rsidRPr="004B2D4E">
        <w:rPr>
          <w:rFonts w:ascii="Arial" w:eastAsia="Times New Roman" w:hAnsi="Arial" w:cs="Arial"/>
          <w:sz w:val="20"/>
          <w:szCs w:val="20"/>
          <w:lang w:val="sr-Cyrl-RS"/>
        </w:rPr>
        <w:t>. То је још један од показатеља да</w:t>
      </w:r>
      <w:r w:rsidRPr="004B2D4E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4B2D4E">
        <w:rPr>
          <w:rFonts w:ascii="Arial" w:eastAsia="Times New Roman" w:hAnsi="Arial" w:cs="Arial"/>
          <w:sz w:val="20"/>
          <w:szCs w:val="20"/>
          <w:lang w:val="sr-Cyrl-RS"/>
        </w:rPr>
        <w:t>српски аграр мора бити још интензивније развијан и подржаван мерама аграрне политике али и структурним и регионалним политикама и програмима развоја и инвестиција</w:t>
      </w:r>
      <w:r w:rsidR="005B7E27" w:rsidRPr="004B2D4E">
        <w:rPr>
          <w:rFonts w:ascii="Arial" w:eastAsia="Times New Roman" w:hAnsi="Arial" w:cs="Arial"/>
          <w:sz w:val="20"/>
          <w:szCs w:val="20"/>
          <w:lang w:val="sr-Cyrl-RS"/>
        </w:rPr>
        <w:t>, како наводе стручњаци.</w:t>
      </w:r>
    </w:p>
    <w:p w:rsidR="005B7E27" w:rsidRPr="004B2D4E" w:rsidRDefault="005B7E27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C43345" w:rsidRPr="004B2D4E" w:rsidRDefault="00D550DB" w:rsidP="001F228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1F2285">
        <w:rPr>
          <w:rFonts w:ascii="Arial" w:eastAsia="Times New Roman" w:hAnsi="Arial" w:cs="Arial"/>
          <w:sz w:val="20"/>
          <w:szCs w:val="20"/>
          <w:lang w:val="sr-Cyrl-CS"/>
        </w:rPr>
        <w:t>У табели</w:t>
      </w:r>
      <w:r w:rsidR="00155E89" w:rsidRPr="001F2285">
        <w:rPr>
          <w:rFonts w:ascii="Arial" w:eastAsia="Times New Roman" w:hAnsi="Arial" w:cs="Arial"/>
          <w:sz w:val="20"/>
          <w:szCs w:val="20"/>
          <w:lang w:val="sr-Cyrl-CS"/>
        </w:rPr>
        <w:t xml:space="preserve"> 6.</w:t>
      </w:r>
      <w:r w:rsidRPr="001F2285">
        <w:rPr>
          <w:rFonts w:ascii="Arial" w:eastAsia="Times New Roman" w:hAnsi="Arial" w:cs="Arial"/>
          <w:sz w:val="20"/>
          <w:szCs w:val="20"/>
          <w:lang w:val="sr-Cyrl-CS"/>
        </w:rPr>
        <w:t xml:space="preserve"> прика</w:t>
      </w:r>
      <w:r w:rsidR="00C43345" w:rsidRPr="001F2285">
        <w:rPr>
          <w:rFonts w:ascii="Arial" w:eastAsia="Times New Roman" w:hAnsi="Arial" w:cs="Arial"/>
          <w:sz w:val="20"/>
          <w:szCs w:val="20"/>
          <w:lang w:val="sr-Cyrl-CS"/>
        </w:rPr>
        <w:t>зани су подаци о увозу и извозу у прошлој години, као и индексни пока</w:t>
      </w:r>
      <w:r w:rsidR="001F2285" w:rsidRPr="001F2285">
        <w:rPr>
          <w:rFonts w:ascii="Arial" w:eastAsia="Times New Roman" w:hAnsi="Arial" w:cs="Arial"/>
          <w:sz w:val="20"/>
          <w:szCs w:val="20"/>
          <w:lang w:val="sr-Cyrl-CS"/>
        </w:rPr>
        <w:t>затељи 2014/201</w:t>
      </w:r>
      <w:r w:rsidR="001F2285">
        <w:rPr>
          <w:rFonts w:ascii="Arial" w:eastAsia="Times New Roman" w:hAnsi="Arial" w:cs="Arial"/>
          <w:sz w:val="20"/>
          <w:szCs w:val="20"/>
          <w:lang w:val="sr-Cyrl-CS"/>
        </w:rPr>
        <w:t>3</w:t>
      </w:r>
      <w:r w:rsidR="001F2285" w:rsidRPr="001F2285">
        <w:rPr>
          <w:rFonts w:ascii="Arial" w:eastAsia="Times New Roman" w:hAnsi="Arial" w:cs="Arial"/>
          <w:sz w:val="20"/>
          <w:szCs w:val="20"/>
          <w:lang w:val="sr-Cyrl-CS"/>
        </w:rPr>
        <w:t xml:space="preserve">, а у </w:t>
      </w:r>
      <w:r w:rsidR="00C43345" w:rsidRPr="001F2285">
        <w:rPr>
          <w:rFonts w:ascii="Arial" w:eastAsia="Times New Roman" w:hAnsi="Arial" w:cs="Arial"/>
          <w:sz w:val="20"/>
          <w:szCs w:val="20"/>
          <w:lang w:val="sr-Cyrl-CS"/>
        </w:rPr>
        <w:t xml:space="preserve">табели </w:t>
      </w:r>
      <w:r w:rsidR="001F2285" w:rsidRPr="001F2285">
        <w:rPr>
          <w:rFonts w:ascii="Arial" w:eastAsia="Times New Roman" w:hAnsi="Arial" w:cs="Arial"/>
          <w:sz w:val="20"/>
          <w:szCs w:val="20"/>
          <w:lang w:val="sr-Cyrl-CS"/>
        </w:rPr>
        <w:t>7. извоз и увоз воћа и поврћа</w:t>
      </w:r>
      <w:r w:rsidR="00C43345" w:rsidRPr="001F2285">
        <w:rPr>
          <w:rFonts w:ascii="Arial" w:eastAsia="Times New Roman" w:hAnsi="Arial" w:cs="Arial"/>
          <w:sz w:val="20"/>
          <w:szCs w:val="20"/>
          <w:lang w:val="sr-Cyrl-CS"/>
        </w:rPr>
        <w:t>.</w:t>
      </w:r>
      <w:r w:rsidR="00B35B66" w:rsidRPr="001F2285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="00B35B66" w:rsidRPr="001F228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Увоз 2014. за</w:t>
      </w:r>
      <w:r w:rsidR="00B35B66" w:rsidRPr="004B2D4E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класификацију </w:t>
      </w:r>
      <w:r w:rsidR="00B35B66" w:rsidRPr="004B2D4E">
        <w:rPr>
          <w:rFonts w:ascii="Arial" w:eastAsia="Times New Roman" w:hAnsi="Arial" w:cs="Arial"/>
          <w:color w:val="000000"/>
          <w:sz w:val="20"/>
          <w:szCs w:val="20"/>
          <w:u w:val="single"/>
          <w:lang w:val="sr-Cyrl-CS"/>
        </w:rPr>
        <w:t xml:space="preserve">Воће и </w:t>
      </w:r>
      <w:r w:rsidR="00B35B66" w:rsidRPr="001F2285">
        <w:rPr>
          <w:rFonts w:ascii="Arial" w:eastAsia="Times New Roman" w:hAnsi="Arial" w:cs="Arial"/>
          <w:color w:val="000000"/>
          <w:sz w:val="20"/>
          <w:szCs w:val="20"/>
          <w:u w:val="single"/>
          <w:lang w:val="sr-Cyrl-CS"/>
        </w:rPr>
        <w:t>поврће</w:t>
      </w:r>
      <w:r w:rsidR="001F2285" w:rsidRPr="001F228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износио је 195.644.</w:t>
      </w:r>
      <w:r w:rsidR="00B35B66" w:rsidRPr="001F228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>000 ЕУР</w:t>
      </w:r>
      <w:r w:rsidR="006A0C40" w:rsidRPr="001F2285">
        <w:rPr>
          <w:rFonts w:ascii="Arial" w:eastAsia="Times New Roman" w:hAnsi="Arial" w:cs="Arial"/>
          <w:color w:val="000000"/>
          <w:sz w:val="20"/>
          <w:szCs w:val="20"/>
          <w:lang w:val="sr-Cyrl-CS"/>
        </w:rPr>
        <w:t xml:space="preserve"> и </w:t>
      </w:r>
      <w:r w:rsidR="00B35B66" w:rsidRPr="001F2285">
        <w:rPr>
          <w:rFonts w:ascii="Arial" w:hAnsi="Arial" w:cs="Arial"/>
          <w:sz w:val="20"/>
          <w:szCs w:val="20"/>
          <w:lang w:val="sr-Cyrl-CS"/>
        </w:rPr>
        <w:t xml:space="preserve">повећан </w:t>
      </w:r>
      <w:r w:rsidR="006A0C40" w:rsidRPr="001F2285">
        <w:rPr>
          <w:rFonts w:ascii="Arial" w:hAnsi="Arial" w:cs="Arial"/>
          <w:sz w:val="20"/>
          <w:szCs w:val="20"/>
          <w:lang w:val="sr-Cyrl-CS"/>
        </w:rPr>
        <w:t>је</w:t>
      </w:r>
      <w:r w:rsidR="006A0C40" w:rsidRPr="004B2D4E">
        <w:rPr>
          <w:rFonts w:ascii="Arial" w:hAnsi="Arial" w:cs="Arial"/>
          <w:sz w:val="20"/>
          <w:szCs w:val="20"/>
          <w:lang w:val="sr-Cyrl-CS"/>
        </w:rPr>
        <w:t xml:space="preserve"> у </w:t>
      </w:r>
      <w:r w:rsidR="006A0C40" w:rsidRPr="00552EAD">
        <w:rPr>
          <w:rFonts w:ascii="Arial" w:hAnsi="Arial" w:cs="Arial"/>
          <w:sz w:val="20"/>
          <w:szCs w:val="20"/>
          <w:lang w:val="sr-Cyrl-RS"/>
        </w:rPr>
        <w:t>од</w:t>
      </w:r>
      <w:r w:rsidR="00724548" w:rsidRPr="00552EAD">
        <w:rPr>
          <w:rFonts w:ascii="Arial" w:hAnsi="Arial" w:cs="Arial"/>
          <w:sz w:val="20"/>
          <w:szCs w:val="20"/>
          <w:lang w:val="sr-Cyrl-RS"/>
        </w:rPr>
        <w:t>носу на претходну годину.</w:t>
      </w:r>
    </w:p>
    <w:p w:rsidR="0071363A" w:rsidRPr="0071363A" w:rsidRDefault="00C43345" w:rsidP="001F2285">
      <w:pPr>
        <w:pStyle w:val="Heading1"/>
        <w:rPr>
          <w:lang w:val="sr-Cyrl-RS"/>
        </w:rPr>
      </w:pPr>
      <w:bookmarkStart w:id="6" w:name="_Toc425513123"/>
      <w:r w:rsidRPr="0071363A">
        <w:rPr>
          <w:b/>
          <w:lang w:val="sr-Cyrl-RS"/>
        </w:rPr>
        <w:t xml:space="preserve">Табела </w:t>
      </w:r>
      <w:r w:rsidR="0071363A" w:rsidRPr="0071363A">
        <w:rPr>
          <w:b/>
          <w:lang w:val="sr-Cyrl-RS"/>
        </w:rPr>
        <w:t>6.</w:t>
      </w:r>
      <w:r w:rsidR="008C4609" w:rsidRPr="0071363A">
        <w:rPr>
          <w:b/>
          <w:lang w:val="sr-Cyrl-RS"/>
        </w:rPr>
        <w:t xml:space="preserve"> </w:t>
      </w:r>
      <w:r w:rsidRPr="0071363A">
        <w:rPr>
          <w:lang w:val="sr-Cyrl-RS"/>
        </w:rPr>
        <w:t>Извоз и увоз пољопривредних и прехрамбених производа у</w:t>
      </w:r>
      <w:r w:rsidR="00114870" w:rsidRPr="0071363A">
        <w:rPr>
          <w:lang w:val="sr-Cyrl-RS"/>
        </w:rPr>
        <w:t xml:space="preserve"> РС,</w:t>
      </w:r>
      <w:r w:rsidRPr="0071363A">
        <w:rPr>
          <w:lang w:val="sr-Cyrl-RS"/>
        </w:rPr>
        <w:t xml:space="preserve"> 2014.</w:t>
      </w:r>
      <w:r w:rsidR="00280460" w:rsidRPr="0071363A">
        <w:rPr>
          <w:lang w:val="sr-Cyrl-RS"/>
        </w:rPr>
        <w:t xml:space="preserve"> </w:t>
      </w:r>
      <w:r w:rsidR="0071363A" w:rsidRPr="0071363A">
        <w:rPr>
          <w:lang w:val="sr-Cyrl-RS"/>
        </w:rPr>
        <w:t>г</w:t>
      </w:r>
      <w:r w:rsidR="00280460" w:rsidRPr="0071363A">
        <w:rPr>
          <w:lang w:val="sr-Cyrl-RS"/>
        </w:rPr>
        <w:t>одина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</w:tblGrid>
      <w:tr w:rsidR="00C43345" w:rsidRPr="00684DAF" w:rsidTr="00622081">
        <w:tc>
          <w:tcPr>
            <w:tcW w:w="2310" w:type="dxa"/>
          </w:tcPr>
          <w:p w:rsidR="00C43345" w:rsidRPr="004B2D4E" w:rsidRDefault="00C43345" w:rsidP="001F2285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311" w:type="dxa"/>
          </w:tcPr>
          <w:p w:rsidR="00C43345" w:rsidRPr="00E877A8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877A8">
              <w:rPr>
                <w:rFonts w:ascii="Arial" w:hAnsi="Arial" w:cs="Arial"/>
                <w:sz w:val="20"/>
                <w:szCs w:val="20"/>
                <w:lang w:val="sr-Cyrl-RS"/>
              </w:rPr>
              <w:t>Извоз</w:t>
            </w:r>
          </w:p>
        </w:tc>
        <w:tc>
          <w:tcPr>
            <w:tcW w:w="2311" w:type="dxa"/>
          </w:tcPr>
          <w:p w:rsidR="00C43345" w:rsidRPr="00E877A8" w:rsidRDefault="00C43345" w:rsidP="00D47A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E877A8">
              <w:rPr>
                <w:rFonts w:ascii="Arial" w:hAnsi="Arial" w:cs="Arial"/>
                <w:sz w:val="20"/>
                <w:szCs w:val="20"/>
                <w:lang w:val="sr-Cyrl-CS"/>
              </w:rPr>
              <w:t>Увоз</w:t>
            </w:r>
          </w:p>
        </w:tc>
      </w:tr>
      <w:tr w:rsidR="00C43345" w:rsidRPr="00684DAF" w:rsidTr="00622081">
        <w:tc>
          <w:tcPr>
            <w:tcW w:w="2310" w:type="dxa"/>
          </w:tcPr>
          <w:p w:rsidR="001F2285" w:rsidRPr="00580E61" w:rsidRDefault="001F2285" w:rsidP="001F2285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580E61">
              <w:rPr>
                <w:rFonts w:ascii="Arial" w:hAnsi="Arial" w:cs="Arial"/>
                <w:sz w:val="20"/>
                <w:szCs w:val="20"/>
                <w:lang w:val="sr-Cyrl-CS"/>
              </w:rPr>
              <w:t xml:space="preserve">Вредност у хиљадама евра </w:t>
            </w:r>
          </w:p>
          <w:p w:rsidR="00C43345" w:rsidRPr="00684DAF" w:rsidRDefault="00C43345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</w:tcPr>
          <w:p w:rsidR="00C43345" w:rsidRPr="00684DAF" w:rsidRDefault="001F228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787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="00C43345" w:rsidRPr="00684DAF">
              <w:rPr>
                <w:rFonts w:ascii="Arial" w:hAnsi="Arial" w:cs="Arial"/>
                <w:sz w:val="20"/>
                <w:szCs w:val="20"/>
              </w:rPr>
              <w:t>053</w:t>
            </w:r>
          </w:p>
        </w:tc>
        <w:tc>
          <w:tcPr>
            <w:tcW w:w="2311" w:type="dxa"/>
          </w:tcPr>
          <w:p w:rsidR="00C43345" w:rsidRPr="00684DAF" w:rsidRDefault="001F228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938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  <w:r w:rsidR="00C43345" w:rsidRPr="00684DAF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</w:tr>
      <w:tr w:rsidR="00C43345" w:rsidRPr="00684DAF" w:rsidTr="00622081">
        <w:tc>
          <w:tcPr>
            <w:tcW w:w="2310" w:type="dxa"/>
          </w:tcPr>
          <w:p w:rsidR="00C43345" w:rsidRPr="00724548" w:rsidRDefault="00C43345" w:rsidP="003B68D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52EAD">
              <w:rPr>
                <w:rFonts w:ascii="Arial" w:hAnsi="Arial" w:cs="Arial"/>
                <w:sz w:val="20"/>
                <w:szCs w:val="20"/>
                <w:lang w:val="sr-Cyrl-RS"/>
              </w:rPr>
              <w:lastRenderedPageBreak/>
              <w:t>Индекс</w:t>
            </w:r>
            <w:r w:rsidRPr="00684DAF">
              <w:rPr>
                <w:rFonts w:ascii="Arial" w:hAnsi="Arial" w:cs="Arial"/>
                <w:sz w:val="20"/>
                <w:szCs w:val="20"/>
              </w:rPr>
              <w:t xml:space="preserve">  2014/2013</w:t>
            </w:r>
          </w:p>
        </w:tc>
        <w:tc>
          <w:tcPr>
            <w:tcW w:w="2311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113.4</w:t>
            </w:r>
          </w:p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</w:tcPr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AF">
              <w:rPr>
                <w:rFonts w:ascii="Arial" w:hAnsi="Arial" w:cs="Arial"/>
                <w:sz w:val="20"/>
                <w:szCs w:val="20"/>
              </w:rPr>
              <w:t>104.0</w:t>
            </w:r>
          </w:p>
          <w:p w:rsidR="00C43345" w:rsidRPr="00684DAF" w:rsidRDefault="00C4334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3345" w:rsidRPr="00684DAF" w:rsidRDefault="00C43345" w:rsidP="003B68D9">
      <w:pPr>
        <w:spacing w:line="360" w:lineRule="auto"/>
        <w:rPr>
          <w:rFonts w:ascii="Arial" w:hAnsi="Arial" w:cs="Arial"/>
          <w:sz w:val="20"/>
          <w:szCs w:val="20"/>
        </w:rPr>
      </w:pPr>
      <w:r w:rsidRPr="00684DAF">
        <w:rPr>
          <w:rFonts w:ascii="Arial" w:hAnsi="Arial" w:cs="Arial"/>
          <w:sz w:val="20"/>
          <w:szCs w:val="20"/>
        </w:rPr>
        <w:t>Извор: РЗС; МАТ,</w:t>
      </w:r>
      <w:r w:rsidR="00280460" w:rsidRPr="00684DAF">
        <w:rPr>
          <w:rFonts w:ascii="Arial" w:hAnsi="Arial" w:cs="Arial"/>
          <w:sz w:val="20"/>
          <w:szCs w:val="20"/>
        </w:rPr>
        <w:t xml:space="preserve"> јун 2015.</w:t>
      </w:r>
    </w:p>
    <w:p w:rsidR="00CD468E" w:rsidRPr="00684DAF" w:rsidRDefault="00CD468E" w:rsidP="003B68D9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84DAF">
        <w:rPr>
          <w:rFonts w:ascii="Arial" w:eastAsia="Times New Roman" w:hAnsi="Arial" w:cs="Arial"/>
          <w:sz w:val="20"/>
          <w:szCs w:val="20"/>
        </w:rPr>
        <w:t xml:space="preserve">Треба напоменути да је </w:t>
      </w:r>
      <w:r w:rsidRPr="00684DAF">
        <w:rPr>
          <w:rFonts w:ascii="Arial" w:eastAsia="Times New Roman" w:hAnsi="Arial" w:cs="Arial"/>
          <w:color w:val="000000"/>
          <w:sz w:val="20"/>
          <w:szCs w:val="20"/>
        </w:rPr>
        <w:t>према подацима Привредне коморе Србије 2012. године из Србије извезено пољопривредно прехрамбених производа у вредности од 2,5 милијарди долара, а истовремено је увезено</w:t>
      </w:r>
      <w:r w:rsidR="00114870"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 за 1,32 милијарде долара, тако да је те године</w:t>
      </w:r>
      <w:r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 остварен с</w:t>
      </w:r>
      <w:r w:rsidR="00114870" w:rsidRPr="00684DAF">
        <w:rPr>
          <w:rFonts w:ascii="Arial" w:eastAsia="Times New Roman" w:hAnsi="Arial" w:cs="Arial"/>
          <w:color w:val="000000"/>
          <w:sz w:val="20"/>
          <w:szCs w:val="20"/>
        </w:rPr>
        <w:t>уфицит од 1,18 милијарди долара.</w:t>
      </w:r>
      <w:r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 Аграрни извоз Србије у 2013. годи</w:t>
      </w:r>
      <w:r w:rsidR="00114870" w:rsidRPr="00684DAF">
        <w:rPr>
          <w:rFonts w:ascii="Arial" w:eastAsia="Times New Roman" w:hAnsi="Arial" w:cs="Arial"/>
          <w:color w:val="000000"/>
          <w:sz w:val="20"/>
          <w:szCs w:val="20"/>
        </w:rPr>
        <w:t>ни карактерише раст од 2,2</w:t>
      </w:r>
      <w:r w:rsidR="008C4609" w:rsidRPr="00684DAF">
        <w:rPr>
          <w:rFonts w:ascii="Arial" w:eastAsia="Times New Roman" w:hAnsi="Arial" w:cs="Arial"/>
          <w:sz w:val="20"/>
          <w:szCs w:val="20"/>
        </w:rPr>
        <w:t xml:space="preserve">% </w:t>
      </w:r>
      <w:r w:rsidRPr="00684DAF">
        <w:rPr>
          <w:rFonts w:ascii="Arial" w:eastAsia="Times New Roman" w:hAnsi="Arial" w:cs="Arial"/>
          <w:color w:val="000000"/>
          <w:sz w:val="20"/>
          <w:szCs w:val="20"/>
        </w:rPr>
        <w:t>у односу на исто време претходне године, а његово учешће у ук</w:t>
      </w:r>
      <w:r w:rsidR="008C4609" w:rsidRPr="00684DAF">
        <w:rPr>
          <w:rFonts w:ascii="Arial" w:eastAsia="Times New Roman" w:hAnsi="Arial" w:cs="Arial"/>
          <w:color w:val="000000"/>
          <w:sz w:val="20"/>
          <w:szCs w:val="20"/>
        </w:rPr>
        <w:t>упном извозу земље је 24,2 процента</w:t>
      </w:r>
      <w:r w:rsidRPr="00684DAF">
        <w:rPr>
          <w:rFonts w:ascii="Arial" w:eastAsia="Times New Roman" w:hAnsi="Arial" w:cs="Arial"/>
          <w:color w:val="000000"/>
          <w:sz w:val="20"/>
          <w:szCs w:val="20"/>
        </w:rPr>
        <w:t>. Истовремено увоз је имао раст од 5,4</w:t>
      </w:r>
      <w:r w:rsidR="008C4609" w:rsidRPr="00684DAF">
        <w:rPr>
          <w:rFonts w:ascii="Arial" w:eastAsia="Times New Roman" w:hAnsi="Arial" w:cs="Arial"/>
          <w:sz w:val="20"/>
          <w:szCs w:val="20"/>
        </w:rPr>
        <w:t xml:space="preserve">% </w:t>
      </w:r>
      <w:r w:rsidRPr="00684DAF">
        <w:rPr>
          <w:rFonts w:ascii="Arial" w:eastAsia="Times New Roman" w:hAnsi="Arial" w:cs="Arial"/>
          <w:color w:val="000000"/>
          <w:sz w:val="20"/>
          <w:szCs w:val="20"/>
        </w:rPr>
        <w:t>и његово учешће у укупном</w:t>
      </w:r>
      <w:r w:rsidR="008C4609"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 робном увозу земље је 7,7 процената</w:t>
      </w:r>
      <w:r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D47AE6" w:rsidRPr="00684DAF">
        <w:rPr>
          <w:rFonts w:ascii="Arial" w:eastAsia="Times New Roman" w:hAnsi="Arial" w:cs="Arial"/>
          <w:color w:val="000000"/>
          <w:sz w:val="20"/>
          <w:szCs w:val="20"/>
        </w:rPr>
        <w:t>У</w:t>
      </w:r>
      <w:r w:rsidR="008C4609"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 табели је видљиво да је 2014. године и</w:t>
      </w:r>
      <w:r w:rsidR="00D47AE6"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звоз </w:t>
      </w:r>
      <w:r w:rsidR="00D47AE6" w:rsidRPr="00684DAF">
        <w:rPr>
          <w:rFonts w:ascii="Arial" w:hAnsi="Arial" w:cs="Arial"/>
          <w:sz w:val="20"/>
          <w:szCs w:val="20"/>
        </w:rPr>
        <w:t>пољопривредних и прехрамбених производа</w:t>
      </w:r>
      <w:r w:rsidR="008C4609" w:rsidRPr="00684DAF">
        <w:rPr>
          <w:rFonts w:ascii="Arial" w:hAnsi="Arial" w:cs="Arial"/>
          <w:sz w:val="20"/>
          <w:szCs w:val="20"/>
        </w:rPr>
        <w:t xml:space="preserve"> повећан за 13,4</w:t>
      </w:r>
      <w:r w:rsidR="008C4609" w:rsidRPr="00684DAF">
        <w:rPr>
          <w:rFonts w:ascii="Arial" w:eastAsia="Times New Roman" w:hAnsi="Arial" w:cs="Arial"/>
          <w:sz w:val="20"/>
          <w:szCs w:val="20"/>
        </w:rPr>
        <w:t>%</w:t>
      </w:r>
      <w:r w:rsidR="008C4609" w:rsidRPr="00684DAF">
        <w:rPr>
          <w:rFonts w:ascii="Arial" w:hAnsi="Arial" w:cs="Arial"/>
          <w:sz w:val="20"/>
          <w:szCs w:val="20"/>
        </w:rPr>
        <w:t xml:space="preserve"> а увоз за 4</w:t>
      </w:r>
      <w:r w:rsidR="008C4609" w:rsidRPr="00684DAF">
        <w:rPr>
          <w:rFonts w:ascii="Arial" w:eastAsia="Times New Roman" w:hAnsi="Arial" w:cs="Arial"/>
          <w:sz w:val="20"/>
          <w:szCs w:val="20"/>
        </w:rPr>
        <w:t>%</w:t>
      </w:r>
      <w:r w:rsidR="008C4609" w:rsidRPr="00684DAF">
        <w:rPr>
          <w:rFonts w:ascii="Arial" w:hAnsi="Arial" w:cs="Arial"/>
          <w:sz w:val="20"/>
          <w:szCs w:val="20"/>
        </w:rPr>
        <w:t>.</w:t>
      </w:r>
    </w:p>
    <w:p w:rsidR="00CD468E" w:rsidRPr="00684DAF" w:rsidRDefault="00CD468E" w:rsidP="00D47A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84DAF">
        <w:rPr>
          <w:rFonts w:ascii="Arial" w:eastAsia="Times New Roman" w:hAnsi="Arial" w:cs="Arial"/>
          <w:sz w:val="20"/>
          <w:szCs w:val="20"/>
        </w:rPr>
        <w:t xml:space="preserve">Што се тиче појединих група пољопривредних и прехрамбених производа, треба напоменути да је остварен значајан раст извоза меса, месних прерађевина, млека и млечних производа. Истовремено, извоз живе стоке је опао за око 20% а удвостручен је увоз што указује на недовољну домаћу понуду живе стоке за нашу месну индустрију и њене производне и извозне капацитете. </w:t>
      </w:r>
    </w:p>
    <w:p w:rsidR="00CD468E" w:rsidRPr="00684DAF" w:rsidRDefault="00CD468E" w:rsidP="00D47AE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617AB" w:rsidRPr="00E617AB" w:rsidRDefault="00CD468E" w:rsidP="00E617A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1F2285">
        <w:rPr>
          <w:rFonts w:ascii="Arial" w:eastAsia="Times New Roman" w:hAnsi="Arial" w:cs="Arial"/>
          <w:sz w:val="20"/>
          <w:szCs w:val="20"/>
          <w:lang w:val="sr-Cyrl-CS"/>
        </w:rPr>
        <w:t>Када је реч о биљној производњи и прехрамбеним производима биљног порекла, више него удвостручен</w:t>
      </w:r>
      <w:r w:rsidR="008C4609" w:rsidRPr="001F2285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Pr="001F2285">
        <w:rPr>
          <w:rFonts w:ascii="Arial" w:eastAsia="Times New Roman" w:hAnsi="Arial" w:cs="Arial"/>
          <w:sz w:val="20"/>
          <w:szCs w:val="20"/>
          <w:lang w:val="sr-Cyrl-CS"/>
        </w:rPr>
        <w:t>извоз кукуруза представља најзначајнију ставку у српском извозу пољопривредних производа</w:t>
      </w:r>
      <w:r w:rsidRPr="00684DAF">
        <w:rPr>
          <w:rFonts w:ascii="Arial" w:eastAsia="Times New Roman" w:hAnsi="Arial" w:cs="Arial"/>
          <w:sz w:val="20"/>
          <w:szCs w:val="20"/>
        </w:rPr>
        <w:t xml:space="preserve"> 2014. године. </w:t>
      </w:r>
      <w:r w:rsidRPr="00E617AB">
        <w:rPr>
          <w:rFonts w:ascii="Arial" w:eastAsia="Times New Roman" w:hAnsi="Arial" w:cs="Arial"/>
          <w:sz w:val="20"/>
          <w:szCs w:val="20"/>
          <w:lang w:val="sr-Cyrl-CS"/>
        </w:rPr>
        <w:t xml:space="preserve">Извоз пшенице је истовремено знатно смањен као последица рекордне производње и извоза кукуруза. </w:t>
      </w:r>
    </w:p>
    <w:p w:rsidR="00E617AB" w:rsidRDefault="00E617AB" w:rsidP="00E617A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C52AA3" w:rsidRPr="0071363A" w:rsidRDefault="00CD468E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E617AB">
        <w:rPr>
          <w:rFonts w:ascii="Arial" w:eastAsia="Times New Roman" w:hAnsi="Arial" w:cs="Arial"/>
          <w:sz w:val="20"/>
          <w:szCs w:val="20"/>
          <w:lang w:val="sr-Cyrl-RS"/>
        </w:rPr>
        <w:t xml:space="preserve">Извоз воћа и поврћа (сировог и прерађеног укључујући и сокове) такође показује стопе раста (12%) уз исту вредност увоза. </w:t>
      </w:r>
      <w:r w:rsidRPr="0071363A">
        <w:rPr>
          <w:rFonts w:ascii="Arial" w:eastAsia="Times New Roman" w:hAnsi="Arial" w:cs="Arial"/>
          <w:sz w:val="20"/>
          <w:szCs w:val="20"/>
          <w:lang w:val="sr-Cyrl-RS"/>
        </w:rPr>
        <w:t xml:space="preserve">Када је реч о шећеру, увоз и извоз опали су за 20%, што је последица вишкова шећера на светском и европском тржишту у прошлој години када су остварени рекордни приноси у производњи шећерне репе као и у индустрији шећера. Кондиторска индустрија и прерада кафе показују добре извозне резултате и представљају лидере наше прерађивачке индустрије у спољној трговини. </w:t>
      </w:r>
    </w:p>
    <w:p w:rsidR="0071363A" w:rsidRPr="0071363A" w:rsidRDefault="00280460" w:rsidP="001F2285">
      <w:pPr>
        <w:pStyle w:val="Heading1"/>
        <w:rPr>
          <w:lang w:val="sr-Cyrl-RS"/>
        </w:rPr>
      </w:pPr>
      <w:bookmarkStart w:id="7" w:name="_Toc425513124"/>
      <w:r w:rsidRPr="0071363A">
        <w:rPr>
          <w:b/>
          <w:bCs w:val="0"/>
          <w:lang w:val="sr-Cyrl-RS"/>
        </w:rPr>
        <w:t>Табела</w:t>
      </w:r>
      <w:r w:rsidR="008C4609" w:rsidRPr="0071363A">
        <w:rPr>
          <w:b/>
          <w:bCs w:val="0"/>
          <w:lang w:val="sr-Cyrl-RS"/>
        </w:rPr>
        <w:t xml:space="preserve"> 7</w:t>
      </w:r>
      <w:r w:rsidR="008C4609" w:rsidRPr="0071363A">
        <w:rPr>
          <w:lang w:val="sr-Cyrl-RS"/>
        </w:rPr>
        <w:t>. Увоз и извоз воћа и поврћа у Србији,</w:t>
      </w:r>
      <w:r w:rsidR="0071363A" w:rsidRPr="0071363A">
        <w:rPr>
          <w:lang w:val="sr-Cyrl-RS"/>
        </w:rPr>
        <w:t xml:space="preserve"> в</w:t>
      </w:r>
      <w:r w:rsidR="009002E8" w:rsidRPr="0071363A">
        <w:rPr>
          <w:lang w:val="sr-Cyrl-RS"/>
        </w:rPr>
        <w:t xml:space="preserve">редност у </w:t>
      </w:r>
      <w:r w:rsidR="00580E61">
        <w:rPr>
          <w:lang w:val="sr-Cyrl-RS"/>
        </w:rPr>
        <w:t>хиљадама</w:t>
      </w:r>
      <w:r w:rsidR="009002E8" w:rsidRPr="0071363A">
        <w:rPr>
          <w:lang w:val="sr-Cyrl-RS"/>
        </w:rPr>
        <w:t xml:space="preserve"> е</w:t>
      </w:r>
      <w:r w:rsidR="00C52AA3" w:rsidRPr="0071363A">
        <w:rPr>
          <w:lang w:val="sr-Cyrl-RS"/>
        </w:rPr>
        <w:t>вра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</w:tblGrid>
      <w:tr w:rsidR="00C52AA3" w:rsidRPr="0071363A" w:rsidTr="0024485F">
        <w:tc>
          <w:tcPr>
            <w:tcW w:w="1848" w:type="dxa"/>
          </w:tcPr>
          <w:p w:rsidR="00C52AA3" w:rsidRPr="0071363A" w:rsidRDefault="001F228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Увоз</w:t>
            </w:r>
            <w:r w:rsidR="00C52AA3" w:rsidRPr="0071363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2013</w:t>
            </w:r>
          </w:p>
        </w:tc>
        <w:tc>
          <w:tcPr>
            <w:tcW w:w="1848" w:type="dxa"/>
          </w:tcPr>
          <w:p w:rsidR="00C52AA3" w:rsidRPr="0071363A" w:rsidRDefault="00783630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Увоз </w:t>
            </w:r>
            <w:r w:rsidR="00C52AA3" w:rsidRPr="0071363A">
              <w:rPr>
                <w:rFonts w:ascii="Arial" w:hAnsi="Arial" w:cs="Arial"/>
                <w:sz w:val="20"/>
                <w:szCs w:val="20"/>
                <w:lang w:val="sr-Cyrl-RS"/>
              </w:rPr>
              <w:t>2014</w:t>
            </w:r>
          </w:p>
        </w:tc>
        <w:tc>
          <w:tcPr>
            <w:tcW w:w="1849" w:type="dxa"/>
          </w:tcPr>
          <w:p w:rsidR="00C52AA3" w:rsidRPr="0071363A" w:rsidRDefault="001F2285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Извоз</w:t>
            </w:r>
            <w:r w:rsidR="00C52AA3" w:rsidRPr="0071363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2013</w:t>
            </w:r>
          </w:p>
        </w:tc>
      </w:tr>
      <w:tr w:rsidR="00C52AA3" w:rsidRPr="0071363A" w:rsidTr="0024485F">
        <w:tc>
          <w:tcPr>
            <w:tcW w:w="1848" w:type="dxa"/>
          </w:tcPr>
          <w:p w:rsidR="00C52AA3" w:rsidRPr="0071363A" w:rsidRDefault="00C52AA3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71363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Воће </w:t>
            </w:r>
            <w:r w:rsidRPr="0071363A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138</w:t>
            </w:r>
            <w:r w:rsidR="001F2285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71363A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105</w:t>
            </w:r>
          </w:p>
          <w:p w:rsidR="00C52AA3" w:rsidRPr="0071363A" w:rsidRDefault="00C52AA3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8" w:type="dxa"/>
          </w:tcPr>
          <w:p w:rsidR="00C52AA3" w:rsidRPr="0071363A" w:rsidRDefault="00C52AA3" w:rsidP="003B68D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sr-Cyrl-RS"/>
              </w:rPr>
            </w:pPr>
            <w:r w:rsidRPr="0071363A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Воће 139</w:t>
            </w:r>
            <w:r w:rsidR="001F2285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.</w:t>
            </w:r>
            <w:r w:rsidRPr="0071363A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710</w:t>
            </w:r>
          </w:p>
          <w:p w:rsidR="00C52AA3" w:rsidRPr="0071363A" w:rsidRDefault="00C52AA3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9" w:type="dxa"/>
          </w:tcPr>
          <w:p w:rsidR="00C52AA3" w:rsidRPr="0071363A" w:rsidRDefault="00C52AA3" w:rsidP="003B68D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</w:pPr>
            <w:r w:rsidRPr="0071363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Воће </w:t>
            </w:r>
            <w:r w:rsidRPr="0071363A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359</w:t>
            </w:r>
            <w:r w:rsidR="001F2285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71363A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915</w:t>
            </w:r>
          </w:p>
          <w:p w:rsidR="00C52AA3" w:rsidRPr="0071363A" w:rsidRDefault="00C52AA3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C52AA3" w:rsidRPr="00684DAF" w:rsidTr="0024485F">
        <w:tc>
          <w:tcPr>
            <w:tcW w:w="1848" w:type="dxa"/>
          </w:tcPr>
          <w:p w:rsidR="00C52AA3" w:rsidRPr="0071363A" w:rsidRDefault="00C52AA3" w:rsidP="003B68D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</w:pPr>
            <w:r w:rsidRPr="0071363A">
              <w:rPr>
                <w:rFonts w:ascii="Arial" w:hAnsi="Arial" w:cs="Arial"/>
                <w:sz w:val="20"/>
                <w:szCs w:val="20"/>
                <w:lang w:val="sr-Cyrl-RS"/>
              </w:rPr>
              <w:t>Поврће</w:t>
            </w:r>
            <w:r w:rsidRPr="0071363A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 xml:space="preserve"> 56</w:t>
            </w:r>
            <w:r w:rsidR="001F2285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71363A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562</w:t>
            </w:r>
          </w:p>
          <w:p w:rsidR="00C52AA3" w:rsidRPr="0071363A" w:rsidRDefault="00C52AA3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8" w:type="dxa"/>
          </w:tcPr>
          <w:p w:rsidR="00C52AA3" w:rsidRPr="0071363A" w:rsidRDefault="00C52AA3" w:rsidP="003B68D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sr-Cyrl-RS"/>
              </w:rPr>
            </w:pPr>
            <w:r w:rsidRPr="0071363A">
              <w:rPr>
                <w:rFonts w:ascii="Arial" w:hAnsi="Arial" w:cs="Arial"/>
                <w:sz w:val="20"/>
                <w:szCs w:val="20"/>
                <w:lang w:val="sr-Cyrl-RS"/>
              </w:rPr>
              <w:t>Поврће</w:t>
            </w:r>
            <w:r w:rsidRPr="0071363A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 xml:space="preserve"> 55</w:t>
            </w:r>
            <w:r w:rsidR="001F2285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.</w:t>
            </w:r>
            <w:r w:rsidRPr="0071363A"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934</w:t>
            </w:r>
          </w:p>
          <w:p w:rsidR="00C52AA3" w:rsidRPr="0071363A" w:rsidRDefault="00C52AA3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849" w:type="dxa"/>
          </w:tcPr>
          <w:p w:rsidR="00C52AA3" w:rsidRPr="00684DAF" w:rsidRDefault="00C52AA3" w:rsidP="003B68D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1363A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Поврће </w:t>
            </w:r>
            <w:r w:rsidRPr="00684D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</w:t>
            </w:r>
            <w:r w:rsidR="001F2285">
              <w:rPr>
                <w:rFonts w:ascii="Arial" w:hAnsi="Arial" w:cs="Arial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164</w:t>
            </w:r>
          </w:p>
          <w:p w:rsidR="00C52AA3" w:rsidRPr="00684DAF" w:rsidRDefault="00C52AA3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AA3" w:rsidRPr="00684DAF" w:rsidTr="0024485F">
        <w:tc>
          <w:tcPr>
            <w:tcW w:w="1848" w:type="dxa"/>
          </w:tcPr>
          <w:p w:rsidR="00C52AA3" w:rsidRPr="00684DAF" w:rsidRDefault="00C52AA3" w:rsidP="003B68D9">
            <w:pPr>
              <w:spacing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1F2285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1F22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CS"/>
              </w:rPr>
              <w:t>1</w:t>
            </w:r>
            <w:r w:rsidRPr="00684D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94</w:t>
            </w:r>
            <w:r w:rsidR="001F22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684D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666</w:t>
            </w:r>
          </w:p>
          <w:p w:rsidR="00C52AA3" w:rsidRPr="00684DAF" w:rsidRDefault="00C52AA3" w:rsidP="003B68D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C52AA3" w:rsidRPr="001F2285" w:rsidRDefault="00C52AA3" w:rsidP="003B68D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 w:rsidRPr="001F2285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Укупно</w:t>
            </w:r>
            <w:r w:rsidRPr="001F2285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195</w:t>
            </w:r>
            <w:r w:rsidR="001F2285" w:rsidRPr="001F2285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.</w:t>
            </w:r>
            <w:r w:rsidRPr="001F2285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644</w:t>
            </w:r>
          </w:p>
          <w:p w:rsidR="00C52AA3" w:rsidRPr="001F2285" w:rsidRDefault="00C52AA3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849" w:type="dxa"/>
          </w:tcPr>
          <w:p w:rsidR="00C52AA3" w:rsidRPr="001F2285" w:rsidRDefault="00C52AA3" w:rsidP="003B68D9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 w:rsidRPr="001F2285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Укупно 418</w:t>
            </w:r>
            <w:r w:rsidR="001F2285" w:rsidRPr="001F2285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.</w:t>
            </w:r>
            <w:r w:rsidRPr="001F2285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079</w:t>
            </w:r>
          </w:p>
          <w:p w:rsidR="00C52AA3" w:rsidRPr="001F2285" w:rsidRDefault="00C52AA3" w:rsidP="003B68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C52AA3" w:rsidRPr="00684DAF" w:rsidRDefault="00C52AA3" w:rsidP="003B68D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Извор: </w:t>
      </w:r>
      <w:r w:rsidR="005F29F7"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Републички завод за статистику, </w:t>
      </w:r>
      <w:r w:rsidRPr="00684DA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84DAF">
        <w:rPr>
          <w:rFonts w:ascii="Arial" w:hAnsi="Arial" w:cs="Arial"/>
          <w:sz w:val="20"/>
          <w:szCs w:val="20"/>
        </w:rPr>
        <w:t>јун 2015.</w:t>
      </w:r>
    </w:p>
    <w:p w:rsidR="00C52AA3" w:rsidRPr="00684DAF" w:rsidRDefault="00C52AA3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35B66" w:rsidRPr="00783630" w:rsidRDefault="00783630" w:rsidP="003B68D9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lastRenderedPageBreak/>
        <w:t>У</w:t>
      </w:r>
      <w:r w:rsidR="00B35B66"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централној Србији 2011</w:t>
      </w:r>
      <w:r w:rsidR="00CD468E"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.</w:t>
      </w:r>
      <w:r w:rsidR="00B35B66"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н</w:t>
      </w:r>
      <w:r w:rsidR="00B35B66"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аводњавано</w:t>
      </w:r>
      <w:r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је</w:t>
      </w:r>
      <w:r w:rsidR="00B35B66"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око 100.000 хектара (0,4%) обрадивог земљишта</w:t>
      </w:r>
      <w:r w:rsidR="00CD468E"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, док се у АП </w:t>
      </w:r>
      <w:r w:rsidR="00B35B66" w:rsidRPr="00783630">
        <w:rPr>
          <w:rFonts w:ascii="Arial" w:eastAsia="Times New Roman" w:hAnsi="Arial" w:cs="Arial"/>
          <w:color w:val="000000"/>
          <w:sz w:val="20"/>
          <w:szCs w:val="20"/>
          <w:lang w:val="sr-Cyrl-RS"/>
        </w:rPr>
        <w:t>Војводини наводњава између 1,2% и 4,4% обрадивих површина.</w:t>
      </w:r>
    </w:p>
    <w:p w:rsidR="009E31DE" w:rsidRPr="00684DAF" w:rsidRDefault="009E31DE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002E8" w:rsidRPr="00724548" w:rsidRDefault="009002E8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B82C17" w:rsidRPr="0071363A" w:rsidRDefault="00B82C17" w:rsidP="00682C6B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sr-Cyrl-RS"/>
        </w:rPr>
      </w:pPr>
      <w:r w:rsidRPr="0071363A">
        <w:rPr>
          <w:rFonts w:ascii="Arial" w:eastAsia="Times New Roman" w:hAnsi="Arial" w:cs="Arial"/>
          <w:b/>
          <w:i/>
          <w:iCs/>
          <w:sz w:val="20"/>
          <w:szCs w:val="20"/>
          <w:lang w:val="sr-Cyrl-RS"/>
        </w:rPr>
        <w:t>Извори</w:t>
      </w:r>
      <w:r w:rsidR="009002E8" w:rsidRPr="0071363A">
        <w:rPr>
          <w:rFonts w:ascii="Arial" w:eastAsia="Times New Roman" w:hAnsi="Arial" w:cs="Arial"/>
          <w:b/>
          <w:i/>
          <w:iCs/>
          <w:sz w:val="20"/>
          <w:szCs w:val="20"/>
          <w:lang w:val="sr-Cyrl-RS"/>
        </w:rPr>
        <w:t xml:space="preserve"> информација</w:t>
      </w:r>
      <w:r w:rsidRPr="0071363A">
        <w:rPr>
          <w:rFonts w:ascii="Arial" w:eastAsia="Times New Roman" w:hAnsi="Arial" w:cs="Arial"/>
          <w:b/>
          <w:i/>
          <w:iCs/>
          <w:sz w:val="20"/>
          <w:szCs w:val="20"/>
          <w:lang w:val="sr-Cyrl-RS"/>
        </w:rPr>
        <w:t xml:space="preserve"> </w:t>
      </w:r>
    </w:p>
    <w:p w:rsidR="00682C6B" w:rsidRPr="00724548" w:rsidRDefault="00682C6B" w:rsidP="00682C6B">
      <w:pPr>
        <w:spacing w:after="0" w:line="360" w:lineRule="auto"/>
        <w:jc w:val="both"/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sr-Cyrl-RS"/>
        </w:rPr>
      </w:pPr>
    </w:p>
    <w:p w:rsidR="001F2285" w:rsidRPr="00783630" w:rsidRDefault="001F2285" w:rsidP="001F2285">
      <w:pPr>
        <w:pStyle w:val="NoSpacing"/>
        <w:rPr>
          <w:rFonts w:ascii="Arial" w:eastAsia="Times New Roman" w:hAnsi="Arial" w:cs="Arial"/>
          <w:sz w:val="20"/>
          <w:szCs w:val="20"/>
          <w:lang w:val="sr-Cyrl-RS"/>
        </w:rPr>
      </w:pPr>
      <w:r w:rsidRPr="00783630">
        <w:rPr>
          <w:rFonts w:ascii="Arial" w:eastAsia="Times New Roman" w:hAnsi="Arial" w:cs="Arial"/>
          <w:sz w:val="20"/>
          <w:szCs w:val="20"/>
          <w:lang w:val="sr-Cyrl-CS"/>
        </w:rPr>
        <w:t>Гавриловић Д., Стевовић М., Пољопривредна производња</w:t>
      </w:r>
      <w:r w:rsidRPr="00783630">
        <w:rPr>
          <w:rFonts w:ascii="Arial" w:eastAsia="Times New Roman" w:hAnsi="Arial" w:cs="Arial"/>
          <w:sz w:val="20"/>
          <w:szCs w:val="20"/>
          <w:lang w:val="sr-Cyrl-RS"/>
        </w:rPr>
        <w:t xml:space="preserve"> у РС у 2014.години, МАТ</w:t>
      </w:r>
      <w:r w:rsidRPr="00783630">
        <w:rPr>
          <w:rFonts w:ascii="Arial" w:eastAsia="Times New Roman" w:hAnsi="Arial" w:cs="Arial"/>
          <w:sz w:val="20"/>
          <w:szCs w:val="20"/>
          <w:lang w:val="sr-Cyrl-CS"/>
        </w:rPr>
        <w:t>, бр. 244  (Април 2015)</w:t>
      </w:r>
      <w:r w:rsidRPr="00783630">
        <w:rPr>
          <w:rFonts w:ascii="Arial" w:eastAsia="Times New Roman" w:hAnsi="Arial" w:cs="Arial"/>
          <w:sz w:val="20"/>
          <w:szCs w:val="20"/>
          <w:lang w:val="sr-Cyrl-RS"/>
        </w:rPr>
        <w:t>, стр.19</w:t>
      </w:r>
    </w:p>
    <w:p w:rsidR="001F2285" w:rsidRPr="001F2285" w:rsidRDefault="001F2285" w:rsidP="001F2285">
      <w:pPr>
        <w:pStyle w:val="NoSpacing"/>
        <w:rPr>
          <w:rFonts w:ascii="Arial" w:eastAsia="Times New Roman" w:hAnsi="Arial" w:cs="Arial"/>
          <w:sz w:val="18"/>
          <w:szCs w:val="18"/>
          <w:lang w:val="sr-Cyrl-RS"/>
        </w:rPr>
      </w:pPr>
    </w:p>
    <w:p w:rsidR="00724548" w:rsidRPr="00E877A8" w:rsidRDefault="000751CA" w:rsidP="00724548">
      <w:pPr>
        <w:spacing w:line="360" w:lineRule="auto"/>
        <w:rPr>
          <w:rFonts w:ascii="Arial" w:hAnsi="Arial" w:cs="Arial"/>
          <w:sz w:val="20"/>
          <w:szCs w:val="20"/>
          <w:lang w:val="sr-Latn-RS"/>
        </w:rPr>
      </w:pPr>
      <w:r w:rsidRPr="00724548">
        <w:rPr>
          <w:rFonts w:ascii="Arial" w:hAnsi="Arial" w:cs="Arial"/>
          <w:sz w:val="20"/>
          <w:szCs w:val="20"/>
          <w:lang w:val="sr-Cyrl-RS"/>
        </w:rPr>
        <w:t>Истраживање</w:t>
      </w:r>
      <w:r w:rsidR="00724548" w:rsidRPr="00724548">
        <w:rPr>
          <w:rFonts w:ascii="Arial" w:hAnsi="Arial" w:cs="Arial"/>
          <w:sz w:val="20"/>
          <w:szCs w:val="20"/>
          <w:lang w:val="sr-Cyrl-RS"/>
        </w:rPr>
        <w:t xml:space="preserve"> Библиотеке НСРС </w:t>
      </w:r>
      <w:r w:rsidRPr="00724548">
        <w:rPr>
          <w:rFonts w:ascii="Arial" w:hAnsi="Arial" w:cs="Arial"/>
          <w:sz w:val="20"/>
          <w:szCs w:val="20"/>
          <w:lang w:val="sr-Cyrl-RS"/>
        </w:rPr>
        <w:t xml:space="preserve">: </w:t>
      </w:r>
      <w:r w:rsidR="00F55902" w:rsidRPr="00724548">
        <w:rPr>
          <w:rFonts w:ascii="Arial" w:hAnsi="Arial" w:cs="Arial"/>
          <w:sz w:val="20"/>
          <w:szCs w:val="20"/>
          <w:lang w:val="sr-Cyrl-RS"/>
        </w:rPr>
        <w:t xml:space="preserve">Власништво и структура пољопривредног земљишта, </w:t>
      </w:r>
      <w:r w:rsidRPr="00724548">
        <w:rPr>
          <w:rFonts w:ascii="Arial" w:hAnsi="Arial" w:cs="Arial"/>
          <w:sz w:val="20"/>
          <w:szCs w:val="20"/>
          <w:lang w:val="sr-Cyrl-RS"/>
        </w:rPr>
        <w:t>2013.</w:t>
      </w:r>
      <w:r w:rsidR="00724548" w:rsidRPr="00724548">
        <w:rPr>
          <w:rFonts w:ascii="Arial" w:hAnsi="Arial" w:cs="Arial"/>
          <w:sz w:val="20"/>
          <w:szCs w:val="20"/>
          <w:lang w:val="sr-Cyrl-RS"/>
        </w:rPr>
        <w:t xml:space="preserve"> </w:t>
      </w:r>
      <w:hyperlink r:id="rId10" w:history="1">
        <w:r w:rsidR="00783630" w:rsidRPr="00615563">
          <w:rPr>
            <w:rStyle w:val="Hyperlink"/>
            <w:rFonts w:ascii="Arial" w:hAnsi="Arial" w:cs="Arial"/>
            <w:sz w:val="20"/>
            <w:szCs w:val="20"/>
            <w:lang w:val="sr-Cyrl-RS"/>
          </w:rPr>
          <w:t>http://www.parlament.rs</w:t>
        </w:r>
      </w:hyperlink>
    </w:p>
    <w:p w:rsidR="00724548" w:rsidRPr="001F2285" w:rsidRDefault="00724548" w:rsidP="00724548">
      <w:pPr>
        <w:spacing w:line="36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sr-Cyrl-RS"/>
        </w:rPr>
      </w:pPr>
      <w:r w:rsidRPr="00724548">
        <w:rPr>
          <w:rFonts w:ascii="Arial" w:hAnsi="Arial" w:cs="Arial"/>
          <w:sz w:val="20"/>
          <w:szCs w:val="20"/>
          <w:lang w:val="sr-Cyrl-RS"/>
        </w:rPr>
        <w:t xml:space="preserve">Закон о буџету РС 2014. </w:t>
      </w:r>
      <w:hyperlink r:id="rId11" w:history="1">
        <w:r w:rsidR="00783630" w:rsidRPr="00615563">
          <w:rPr>
            <w:rStyle w:val="Hyperlink"/>
            <w:rFonts w:ascii="Arial" w:hAnsi="Arial" w:cs="Arial"/>
            <w:sz w:val="20"/>
            <w:szCs w:val="20"/>
            <w:lang w:val="sr-Cyrl-RS"/>
          </w:rPr>
          <w:t>http://www.parlament.rs</w:t>
        </w:r>
      </w:hyperlink>
    </w:p>
    <w:p w:rsidR="00724548" w:rsidRPr="00724548" w:rsidRDefault="00724548" w:rsidP="00724548">
      <w:pPr>
        <w:spacing w:line="36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724548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sr-Cyrl-RS"/>
        </w:rPr>
        <w:t>Републички завод за статистику (РСЗ), јун 2015.</w:t>
      </w:r>
      <w:r w:rsidRPr="00724548">
        <w:rPr>
          <w:rFonts w:ascii="Arial" w:hAnsi="Arial" w:cs="Arial"/>
          <w:sz w:val="20"/>
          <w:szCs w:val="20"/>
          <w:lang w:val="sr-Cyrl-RS"/>
        </w:rPr>
        <w:t xml:space="preserve"> </w:t>
      </w:r>
      <w:hyperlink r:id="rId12" w:history="1">
        <w:r w:rsidRPr="00724548">
          <w:rPr>
            <w:rStyle w:val="Hyperlink"/>
            <w:rFonts w:ascii="Arial" w:hAnsi="Arial" w:cs="Arial"/>
            <w:sz w:val="20"/>
            <w:szCs w:val="20"/>
            <w:lang w:val="sr-Cyrl-RS"/>
          </w:rPr>
          <w:t>http://webrzs.stat.gov.rs/WebSite/Public/PageView.aspx?pKey=138</w:t>
        </w:r>
      </w:hyperlink>
    </w:p>
    <w:p w:rsidR="00E02130" w:rsidRPr="00724548" w:rsidRDefault="00E02130" w:rsidP="00724548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D550DB" w:rsidRPr="00724548" w:rsidRDefault="00D550DB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D550DB" w:rsidRPr="00E617AB" w:rsidRDefault="00E617AB" w:rsidP="00E617AB">
      <w:pPr>
        <w:spacing w:line="360" w:lineRule="auto"/>
        <w:ind w:left="3600" w:firstLine="720"/>
        <w:rPr>
          <w:rFonts w:ascii="Arial" w:eastAsia="Times New Roman" w:hAnsi="Arial" w:cs="Arial"/>
          <w:b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sz w:val="20"/>
          <w:szCs w:val="20"/>
          <w:lang w:val="sr-Cyrl-RS"/>
        </w:rPr>
        <w:t xml:space="preserve">            </w:t>
      </w:r>
      <w:r w:rsidR="003B68D9" w:rsidRPr="00E617AB">
        <w:rPr>
          <w:rFonts w:ascii="Arial" w:eastAsia="Times New Roman" w:hAnsi="Arial" w:cs="Arial"/>
          <w:b/>
          <w:sz w:val="20"/>
          <w:szCs w:val="20"/>
          <w:lang w:val="sr-Cyrl-RS"/>
        </w:rPr>
        <w:t>Истраживање урадила:</w:t>
      </w:r>
    </w:p>
    <w:p w:rsidR="003B68D9" w:rsidRPr="00E617AB" w:rsidRDefault="003B68D9" w:rsidP="00E617AB">
      <w:pPr>
        <w:pStyle w:val="NoSpacing"/>
        <w:ind w:left="5040"/>
        <w:rPr>
          <w:rFonts w:ascii="Arial" w:eastAsia="Times New Roman" w:hAnsi="Arial" w:cs="Arial"/>
          <w:sz w:val="20"/>
          <w:szCs w:val="20"/>
          <w:lang w:val="sr-Cyrl-RS"/>
        </w:rPr>
      </w:pPr>
      <w:r w:rsidRPr="00E617AB">
        <w:rPr>
          <w:rFonts w:ascii="Arial" w:eastAsia="Times New Roman" w:hAnsi="Arial" w:cs="Arial"/>
          <w:sz w:val="20"/>
          <w:szCs w:val="20"/>
          <w:lang w:val="sr-Cyrl-RS"/>
        </w:rPr>
        <w:t>мр Марина Пријић,</w:t>
      </w:r>
    </w:p>
    <w:p w:rsidR="003B68D9" w:rsidRPr="00E617AB" w:rsidRDefault="00E617AB" w:rsidP="00E617AB">
      <w:pPr>
        <w:pStyle w:val="NoSpacing"/>
        <w:rPr>
          <w:rFonts w:ascii="Arial" w:eastAsia="Times New Roman" w:hAnsi="Arial" w:cs="Arial"/>
          <w:sz w:val="20"/>
          <w:szCs w:val="20"/>
          <w:lang w:val="sr-Cyrl-RS"/>
        </w:rPr>
      </w:pPr>
      <w:r w:rsidRPr="00E617AB">
        <w:rPr>
          <w:rFonts w:ascii="Arial" w:eastAsia="Times New Roman" w:hAnsi="Arial" w:cs="Arial"/>
          <w:sz w:val="20"/>
          <w:szCs w:val="20"/>
          <w:lang w:val="sr-Cyrl-RS"/>
        </w:rPr>
        <w:t xml:space="preserve">                                                                     </w:t>
      </w:r>
      <w:r w:rsidR="0044536D">
        <w:rPr>
          <w:rFonts w:ascii="Arial" w:eastAsia="Times New Roman" w:hAnsi="Arial" w:cs="Arial"/>
          <w:sz w:val="20"/>
          <w:szCs w:val="20"/>
          <w:lang w:val="sr-Cyrl-RS"/>
        </w:rPr>
        <w:t xml:space="preserve">                     </w:t>
      </w:r>
      <w:r w:rsidR="003B68D9" w:rsidRPr="00E617AB">
        <w:rPr>
          <w:rFonts w:ascii="Arial" w:eastAsia="Times New Roman" w:hAnsi="Arial" w:cs="Arial"/>
          <w:sz w:val="20"/>
          <w:szCs w:val="20"/>
          <w:lang w:val="sr-Cyrl-RS"/>
        </w:rPr>
        <w:t>виши саветник-истраживач</w:t>
      </w:r>
    </w:p>
    <w:p w:rsidR="00D550DB" w:rsidRPr="00E617AB" w:rsidRDefault="00D550DB" w:rsidP="003B68D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D15C09" w:rsidRPr="0071363A" w:rsidRDefault="00D15C09" w:rsidP="003B68D9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sectPr w:rsidR="00D15C09" w:rsidRPr="0071363A" w:rsidSect="00E617AB">
      <w:footerReference w:type="default" r:id="rId13"/>
      <w:pgSz w:w="11907" w:h="16840" w:code="9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67" w:rsidRDefault="004C2767" w:rsidP="00D550DB">
      <w:pPr>
        <w:spacing w:after="0" w:line="240" w:lineRule="auto"/>
      </w:pPr>
      <w:r>
        <w:separator/>
      </w:r>
    </w:p>
  </w:endnote>
  <w:endnote w:type="continuationSeparator" w:id="0">
    <w:p w:rsidR="004C2767" w:rsidRDefault="004C2767" w:rsidP="00D5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541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77A8" w:rsidRDefault="00E877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12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877A8" w:rsidRDefault="00E877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67" w:rsidRDefault="004C2767" w:rsidP="00D550DB">
      <w:pPr>
        <w:spacing w:after="0" w:line="240" w:lineRule="auto"/>
      </w:pPr>
      <w:r>
        <w:separator/>
      </w:r>
    </w:p>
  </w:footnote>
  <w:footnote w:type="continuationSeparator" w:id="0">
    <w:p w:rsidR="004C2767" w:rsidRDefault="004C2767" w:rsidP="00D550DB">
      <w:pPr>
        <w:spacing w:after="0" w:line="240" w:lineRule="auto"/>
      </w:pPr>
      <w:r>
        <w:continuationSeparator/>
      </w:r>
    </w:p>
  </w:footnote>
  <w:footnote w:id="1">
    <w:p w:rsidR="001B4D0F" w:rsidRPr="00580E61" w:rsidRDefault="001B4D0F" w:rsidP="00580E61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580E61">
        <w:rPr>
          <w:rStyle w:val="FootnoteReference"/>
          <w:rFonts w:ascii="Arial" w:hAnsi="Arial" w:cs="Arial"/>
          <w:sz w:val="18"/>
          <w:szCs w:val="18"/>
        </w:rPr>
        <w:footnoteRef/>
      </w:r>
      <w:r w:rsidRPr="00580E61">
        <w:rPr>
          <w:rFonts w:ascii="Arial" w:hAnsi="Arial" w:cs="Arial"/>
          <w:sz w:val="18"/>
          <w:szCs w:val="18"/>
        </w:rPr>
        <w:t xml:space="preserve"> </w:t>
      </w:r>
      <w:r w:rsidR="00E21BA0" w:rsidRPr="00580E61">
        <w:rPr>
          <w:rFonts w:ascii="Arial" w:hAnsi="Arial" w:cs="Arial"/>
          <w:sz w:val="18"/>
          <w:szCs w:val="18"/>
          <w:lang w:val="sr-Cyrl-RS"/>
        </w:rPr>
        <w:t>Истраживање Библиотеке НСРС:</w:t>
      </w:r>
      <w:r w:rsidR="00580E61" w:rsidRPr="00580E61">
        <w:rPr>
          <w:rFonts w:ascii="Arial" w:hAnsi="Arial" w:cs="Arial"/>
          <w:sz w:val="18"/>
          <w:szCs w:val="18"/>
          <w:lang w:val="sr-Cyrl-RS"/>
        </w:rPr>
        <w:t xml:space="preserve"> Власништво и структура пољопривредног земљишта, 2013. </w:t>
      </w:r>
      <w:r w:rsidR="00E21BA0" w:rsidRPr="00580E61">
        <w:rPr>
          <w:rFonts w:ascii="Arial" w:hAnsi="Arial" w:cs="Arial"/>
          <w:sz w:val="18"/>
          <w:szCs w:val="18"/>
          <w:lang w:val="sr-Cyrl-RS"/>
        </w:rPr>
        <w:t xml:space="preserve"> </w:t>
      </w:r>
      <w:r w:rsidR="004B2D4E">
        <w:rPr>
          <w:rFonts w:ascii="Arial" w:hAnsi="Arial" w:cs="Arial"/>
          <w:sz w:val="18"/>
          <w:szCs w:val="18"/>
          <w:lang w:val="sr-Cyrl-RS"/>
        </w:rPr>
        <w:t>http://www.parlament.</w:t>
      </w:r>
      <w:r w:rsidR="00580E61" w:rsidRPr="00580E61">
        <w:rPr>
          <w:rFonts w:ascii="Arial" w:hAnsi="Arial" w:cs="Arial"/>
          <w:sz w:val="18"/>
          <w:szCs w:val="18"/>
          <w:lang w:val="sr-Cyrl-RS"/>
        </w:rPr>
        <w:t>rs</w:t>
      </w:r>
    </w:p>
  </w:footnote>
  <w:footnote w:id="2">
    <w:p w:rsidR="009F64FB" w:rsidRPr="00580E61" w:rsidRDefault="009F64FB" w:rsidP="00580E61">
      <w:pPr>
        <w:pStyle w:val="NoSpacing"/>
        <w:rPr>
          <w:rFonts w:ascii="Arial" w:eastAsia="Times New Roman" w:hAnsi="Arial" w:cs="Arial"/>
          <w:sz w:val="18"/>
          <w:szCs w:val="18"/>
          <w:lang w:val="sr-Cyrl-RS"/>
        </w:rPr>
      </w:pPr>
      <w:r w:rsidRPr="00580E61">
        <w:rPr>
          <w:rStyle w:val="FootnoteReference"/>
          <w:rFonts w:ascii="Arial" w:hAnsi="Arial" w:cs="Arial"/>
          <w:sz w:val="18"/>
          <w:szCs w:val="18"/>
        </w:rPr>
        <w:footnoteRef/>
      </w:r>
      <w:r w:rsidRPr="00580E61">
        <w:rPr>
          <w:rFonts w:ascii="Arial" w:hAnsi="Arial" w:cs="Arial"/>
          <w:sz w:val="18"/>
          <w:szCs w:val="18"/>
          <w:lang w:val="sr-Cyrl-RS"/>
        </w:rPr>
        <w:t xml:space="preserve"> </w:t>
      </w:r>
      <w:r w:rsidRPr="00580E61">
        <w:rPr>
          <w:rFonts w:ascii="Arial" w:eastAsia="Times New Roman" w:hAnsi="Arial" w:cs="Arial"/>
          <w:sz w:val="18"/>
          <w:szCs w:val="18"/>
          <w:lang w:val="sr-Cyrl-CS"/>
        </w:rPr>
        <w:t>Гавриловић Д., Стевовић М., Пољопривредна производња</w:t>
      </w:r>
      <w:r w:rsidRPr="00580E61">
        <w:rPr>
          <w:rFonts w:ascii="Arial" w:eastAsia="Times New Roman" w:hAnsi="Arial" w:cs="Arial"/>
          <w:sz w:val="18"/>
          <w:szCs w:val="18"/>
          <w:lang w:val="sr-Cyrl-RS"/>
        </w:rPr>
        <w:t xml:space="preserve"> у РС у 2014.години, МАТ</w:t>
      </w:r>
      <w:r w:rsidR="00E21BA0" w:rsidRPr="00580E61">
        <w:rPr>
          <w:rFonts w:ascii="Arial" w:eastAsia="Times New Roman" w:hAnsi="Arial" w:cs="Arial"/>
          <w:sz w:val="18"/>
          <w:szCs w:val="18"/>
          <w:lang w:val="sr-Cyrl-CS"/>
        </w:rPr>
        <w:t>, бр. 244  (А</w:t>
      </w:r>
      <w:r w:rsidRPr="00580E61">
        <w:rPr>
          <w:rFonts w:ascii="Arial" w:eastAsia="Times New Roman" w:hAnsi="Arial" w:cs="Arial"/>
          <w:sz w:val="18"/>
          <w:szCs w:val="18"/>
          <w:lang w:val="sr-Cyrl-CS"/>
        </w:rPr>
        <w:t>прил 2015</w:t>
      </w:r>
      <w:r w:rsidR="00E21BA0" w:rsidRPr="00580E61">
        <w:rPr>
          <w:rFonts w:ascii="Arial" w:eastAsia="Times New Roman" w:hAnsi="Arial" w:cs="Arial"/>
          <w:sz w:val="18"/>
          <w:szCs w:val="18"/>
          <w:lang w:val="sr-Cyrl-CS"/>
        </w:rPr>
        <w:t>)</w:t>
      </w:r>
      <w:r w:rsidR="00E21BA0" w:rsidRPr="00580E61">
        <w:rPr>
          <w:rFonts w:ascii="Arial" w:eastAsia="Times New Roman" w:hAnsi="Arial" w:cs="Arial"/>
          <w:sz w:val="18"/>
          <w:szCs w:val="18"/>
          <w:lang w:val="sr-Cyrl-RS"/>
        </w:rPr>
        <w:t>, стр.19</w:t>
      </w:r>
    </w:p>
    <w:p w:rsidR="009F64FB" w:rsidRPr="00580E61" w:rsidRDefault="00580E61" w:rsidP="00580E61">
      <w:pPr>
        <w:pStyle w:val="NoSpacing"/>
        <w:rPr>
          <w:rFonts w:ascii="Arial" w:eastAsia="Times New Roman" w:hAnsi="Arial" w:cs="Arial"/>
          <w:sz w:val="18"/>
          <w:szCs w:val="18"/>
          <w:lang w:val="sr-Cyrl-RS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 xml:space="preserve"> </w:t>
      </w:r>
    </w:p>
    <w:p w:rsidR="009F64FB" w:rsidRPr="00E21BA0" w:rsidRDefault="009F64FB" w:rsidP="00D550DB">
      <w:pPr>
        <w:pStyle w:val="FootnoteText"/>
        <w:rPr>
          <w:lang w:val="sr-Cyrl-RS"/>
        </w:rPr>
      </w:pPr>
    </w:p>
  </w:footnote>
  <w:footnote w:id="3">
    <w:p w:rsidR="00972EA3" w:rsidRPr="00580E61" w:rsidRDefault="001B4D0F" w:rsidP="00580E61">
      <w:pPr>
        <w:pStyle w:val="NoSpacing"/>
        <w:rPr>
          <w:rFonts w:ascii="Arial" w:hAnsi="Arial" w:cs="Arial"/>
          <w:sz w:val="18"/>
          <w:szCs w:val="18"/>
          <w:lang w:val="sr-Latn-BA"/>
        </w:rPr>
      </w:pPr>
      <w:r w:rsidRPr="00580E61">
        <w:rPr>
          <w:rStyle w:val="FootnoteReference"/>
          <w:rFonts w:ascii="Arial" w:hAnsi="Arial" w:cs="Arial"/>
          <w:sz w:val="18"/>
          <w:szCs w:val="18"/>
        </w:rPr>
        <w:footnoteRef/>
      </w:r>
      <w:r w:rsidRPr="00580E61">
        <w:rPr>
          <w:rFonts w:ascii="Arial" w:hAnsi="Arial" w:cs="Arial"/>
          <w:sz w:val="18"/>
          <w:szCs w:val="18"/>
          <w:lang w:val="sr-Cyrl-RS"/>
        </w:rPr>
        <w:t xml:space="preserve"> </w:t>
      </w:r>
      <w:r w:rsidRPr="00580E61">
        <w:rPr>
          <w:rFonts w:ascii="Arial" w:hAnsi="Arial" w:cs="Arial"/>
          <w:sz w:val="18"/>
          <w:szCs w:val="18"/>
          <w:lang w:val="sr-Cyrl-CS"/>
        </w:rPr>
        <w:t xml:space="preserve">Закон о буџету РС </w:t>
      </w:r>
      <w:r w:rsidR="005F29F7" w:rsidRPr="00580E61">
        <w:rPr>
          <w:rFonts w:ascii="Arial" w:hAnsi="Arial" w:cs="Arial"/>
          <w:sz w:val="18"/>
          <w:szCs w:val="18"/>
          <w:lang w:val="sr-Cyrl-CS"/>
        </w:rPr>
        <w:t xml:space="preserve">за </w:t>
      </w:r>
      <w:r w:rsidRPr="00580E61">
        <w:rPr>
          <w:rFonts w:ascii="Arial" w:hAnsi="Arial" w:cs="Arial"/>
          <w:sz w:val="18"/>
          <w:szCs w:val="18"/>
          <w:lang w:val="sr-Cyrl-CS"/>
        </w:rPr>
        <w:t>2014.</w:t>
      </w:r>
      <w:r w:rsidR="005F29F7" w:rsidRPr="00580E61">
        <w:rPr>
          <w:rFonts w:ascii="Arial" w:hAnsi="Arial" w:cs="Arial"/>
          <w:sz w:val="18"/>
          <w:szCs w:val="18"/>
          <w:lang w:val="sr-Cyrl-CS"/>
        </w:rPr>
        <w:t>годину</w:t>
      </w:r>
      <w:r w:rsidR="00E617AB" w:rsidRPr="00580E61">
        <w:rPr>
          <w:rFonts w:ascii="Arial" w:hAnsi="Arial" w:cs="Arial"/>
          <w:sz w:val="18"/>
          <w:szCs w:val="18"/>
          <w:lang w:val="sr-Cyrl-RS"/>
        </w:rPr>
        <w:t xml:space="preserve"> </w:t>
      </w:r>
      <w:r w:rsidR="004C2767">
        <w:fldChar w:fldCharType="begin"/>
      </w:r>
      <w:r w:rsidR="004C2767" w:rsidRPr="00A65122">
        <w:rPr>
          <w:lang w:val="sr-Cyrl-RS"/>
        </w:rPr>
        <w:instrText xml:space="preserve"> </w:instrText>
      </w:r>
      <w:r w:rsidR="004C2767">
        <w:instrText>HYPERLINK</w:instrText>
      </w:r>
      <w:r w:rsidR="004C2767" w:rsidRPr="00A65122">
        <w:rPr>
          <w:lang w:val="sr-Cyrl-RS"/>
        </w:rPr>
        <w:instrText xml:space="preserve"> "</w:instrText>
      </w:r>
      <w:r w:rsidR="004C2767">
        <w:instrText>http</w:instrText>
      </w:r>
      <w:r w:rsidR="004C2767" w:rsidRPr="00A65122">
        <w:rPr>
          <w:lang w:val="sr-Cyrl-RS"/>
        </w:rPr>
        <w:instrText>://</w:instrText>
      </w:r>
      <w:r w:rsidR="004C2767">
        <w:instrText>www</w:instrText>
      </w:r>
      <w:r w:rsidR="004C2767" w:rsidRPr="00A65122">
        <w:rPr>
          <w:lang w:val="sr-Cyrl-RS"/>
        </w:rPr>
        <w:instrText>.</w:instrText>
      </w:r>
      <w:r w:rsidR="004C2767">
        <w:instrText>mfin</w:instrText>
      </w:r>
      <w:r w:rsidR="004C2767" w:rsidRPr="00A65122">
        <w:rPr>
          <w:lang w:val="sr-Cyrl-RS"/>
        </w:rPr>
        <w:instrText>.</w:instrText>
      </w:r>
      <w:r w:rsidR="004C2767">
        <w:instrText>gov</w:instrText>
      </w:r>
      <w:r w:rsidR="004C2767" w:rsidRPr="00A65122">
        <w:rPr>
          <w:lang w:val="sr-Cyrl-RS"/>
        </w:rPr>
        <w:instrText>.</w:instrText>
      </w:r>
      <w:r w:rsidR="004C2767">
        <w:instrText>rs</w:instrText>
      </w:r>
      <w:r w:rsidR="004C2767" w:rsidRPr="00A65122">
        <w:rPr>
          <w:lang w:val="sr-Cyrl-RS"/>
        </w:rPr>
        <w:instrText>/</w:instrText>
      </w:r>
      <w:r w:rsidR="004C2767">
        <w:instrText>UserFiles</w:instrText>
      </w:r>
      <w:r w:rsidR="004C2767" w:rsidRPr="00A65122">
        <w:rPr>
          <w:lang w:val="sr-Cyrl-RS"/>
        </w:rPr>
        <w:instrText>/</w:instrText>
      </w:r>
      <w:r w:rsidR="004C2767">
        <w:instrText>File</w:instrText>
      </w:r>
      <w:r w:rsidR="004C2767" w:rsidRPr="00A65122">
        <w:rPr>
          <w:lang w:val="sr-Cyrl-RS"/>
        </w:rPr>
        <w:instrText>/</w:instrText>
      </w:r>
      <w:r w:rsidR="004C2767">
        <w:instrText>zakoni</w:instrText>
      </w:r>
      <w:r w:rsidR="004C2767" w:rsidRPr="00A65122">
        <w:rPr>
          <w:lang w:val="sr-Cyrl-RS"/>
        </w:rPr>
        <w:instrText>/2013/</w:instrText>
      </w:r>
      <w:r w:rsidR="004C2767">
        <w:instrText>Zakon</w:instrText>
      </w:r>
      <w:r w:rsidR="004C2767" w:rsidRPr="00A65122">
        <w:rPr>
          <w:lang w:val="sr-Cyrl-RS"/>
        </w:rPr>
        <w:instrText>%20</w:instrText>
      </w:r>
      <w:r w:rsidR="004C2767">
        <w:instrText>o</w:instrText>
      </w:r>
      <w:r w:rsidR="004C2767" w:rsidRPr="00A65122">
        <w:rPr>
          <w:lang w:val="sr-Cyrl-RS"/>
        </w:rPr>
        <w:instrText>%20</w:instrText>
      </w:r>
      <w:r w:rsidR="004C2767">
        <w:instrText>budzetu</w:instrText>
      </w:r>
      <w:r w:rsidR="004C2767" w:rsidRPr="00A65122">
        <w:rPr>
          <w:lang w:val="sr-Cyrl-RS"/>
        </w:rPr>
        <w:instrText>%20</w:instrText>
      </w:r>
      <w:r w:rsidR="004C2767">
        <w:instrText>RS</w:instrText>
      </w:r>
      <w:r w:rsidR="004C2767" w:rsidRPr="00A65122">
        <w:rPr>
          <w:lang w:val="sr-Cyrl-RS"/>
        </w:rPr>
        <w:instrText>%20</w:instrText>
      </w:r>
      <w:r w:rsidR="004C2767">
        <w:instrText>za</w:instrText>
      </w:r>
      <w:r w:rsidR="004C2767" w:rsidRPr="00A65122">
        <w:rPr>
          <w:lang w:val="sr-Cyrl-RS"/>
        </w:rPr>
        <w:instrText>%202014_%20</w:instrText>
      </w:r>
      <w:r w:rsidR="004C2767">
        <w:instrText>godinu</w:instrText>
      </w:r>
      <w:r w:rsidR="004C2767" w:rsidRPr="00A65122">
        <w:rPr>
          <w:lang w:val="sr-Cyrl-RS"/>
        </w:rPr>
        <w:instrText>.</w:instrText>
      </w:r>
      <w:r w:rsidR="004C2767">
        <w:instrText>pdf</w:instrText>
      </w:r>
      <w:r w:rsidR="004C2767" w:rsidRPr="00A65122">
        <w:rPr>
          <w:lang w:val="sr-Cyrl-RS"/>
        </w:rPr>
        <w:instrText xml:space="preserve">" </w:instrText>
      </w:r>
      <w:r w:rsidR="004C2767">
        <w:fldChar w:fldCharType="separate"/>
      </w:r>
      <w:r w:rsidR="00972EA3" w:rsidRPr="00580E61">
        <w:rPr>
          <w:rStyle w:val="Hyperlink"/>
          <w:rFonts w:ascii="Arial" w:hAnsi="Arial" w:cs="Arial"/>
          <w:sz w:val="18"/>
          <w:szCs w:val="18"/>
          <w:lang w:val="sr-Latn-BA"/>
        </w:rPr>
        <w:t>http://www.mfin.gov.rs/UserFiles/File/zakoni/2013/Zakon%20o%20budzetu%20RS%20za%202014_%20godinu.pdf</w:t>
      </w:r>
      <w:r w:rsidR="004C2767">
        <w:rPr>
          <w:rStyle w:val="Hyperlink"/>
          <w:rFonts w:ascii="Arial" w:hAnsi="Arial" w:cs="Arial"/>
          <w:sz w:val="18"/>
          <w:szCs w:val="18"/>
          <w:lang w:val="sr-Latn-BA"/>
        </w:rPr>
        <w:fldChar w:fldCharType="end"/>
      </w:r>
    </w:p>
  </w:footnote>
  <w:footnote w:id="4">
    <w:p w:rsidR="00E21BA0" w:rsidRPr="00580E61" w:rsidRDefault="001B4D0F" w:rsidP="00580E61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580E61">
        <w:rPr>
          <w:rStyle w:val="FootnoteReference"/>
          <w:rFonts w:ascii="Arial" w:hAnsi="Arial" w:cs="Arial"/>
          <w:sz w:val="18"/>
          <w:szCs w:val="18"/>
        </w:rPr>
        <w:footnoteRef/>
      </w:r>
      <w:r w:rsidRPr="00580E61">
        <w:rPr>
          <w:rFonts w:ascii="Arial" w:hAnsi="Arial" w:cs="Arial"/>
          <w:sz w:val="18"/>
          <w:szCs w:val="18"/>
          <w:lang w:val="sr-Cyrl-RS"/>
        </w:rPr>
        <w:t xml:space="preserve"> </w:t>
      </w:r>
      <w:r w:rsidR="00E21BA0" w:rsidRPr="00580E61">
        <w:rPr>
          <w:rFonts w:ascii="Arial" w:hAnsi="Arial" w:cs="Arial"/>
          <w:sz w:val="18"/>
          <w:szCs w:val="18"/>
          <w:lang w:val="sr-Cyrl-RS"/>
        </w:rPr>
        <w:t xml:space="preserve">Истраживање Библиотеке НСРС: Власништво и структура пољопривредног земљишта, 2013. </w:t>
      </w:r>
      <w:r w:rsidR="004C2767">
        <w:fldChar w:fldCharType="begin"/>
      </w:r>
      <w:r w:rsidR="004C2767" w:rsidRPr="00A65122">
        <w:rPr>
          <w:lang w:val="sr-Latn-BA"/>
        </w:rPr>
        <w:instrText xml:space="preserve"> HYPERLINK "http://www.parlament.rs" </w:instrText>
      </w:r>
      <w:r w:rsidR="004C2767">
        <w:fldChar w:fldCharType="separate"/>
      </w:r>
      <w:r w:rsidR="004B2D4E" w:rsidRPr="00615563">
        <w:rPr>
          <w:rStyle w:val="Hyperlink"/>
          <w:rFonts w:ascii="Arial" w:hAnsi="Arial" w:cs="Arial"/>
          <w:sz w:val="18"/>
          <w:szCs w:val="18"/>
          <w:lang w:val="sr-Cyrl-RS"/>
        </w:rPr>
        <w:t>http://www.parlament</w:t>
      </w:r>
      <w:r w:rsidR="004B2D4E" w:rsidRPr="00615563">
        <w:rPr>
          <w:rStyle w:val="Hyperlink"/>
          <w:rFonts w:ascii="Arial" w:hAnsi="Arial" w:cs="Arial"/>
          <w:sz w:val="18"/>
          <w:szCs w:val="18"/>
          <w:lang w:val="sr-Latn-RS"/>
        </w:rPr>
        <w:t>.</w:t>
      </w:r>
      <w:r w:rsidR="004B2D4E" w:rsidRPr="00615563">
        <w:rPr>
          <w:rStyle w:val="Hyperlink"/>
          <w:rFonts w:ascii="Arial" w:hAnsi="Arial" w:cs="Arial"/>
          <w:sz w:val="18"/>
          <w:szCs w:val="18"/>
          <w:lang w:val="sr-Cyrl-RS"/>
        </w:rPr>
        <w:t>rs</w:t>
      </w:r>
      <w:r w:rsidR="004C2767">
        <w:rPr>
          <w:rStyle w:val="Hyperlink"/>
          <w:rFonts w:ascii="Arial" w:hAnsi="Arial" w:cs="Arial"/>
          <w:sz w:val="18"/>
          <w:szCs w:val="18"/>
          <w:lang w:val="sr-Cyrl-RS"/>
        </w:rPr>
        <w:fldChar w:fldCharType="end"/>
      </w:r>
    </w:p>
    <w:p w:rsidR="00500CE2" w:rsidRPr="00580E61" w:rsidRDefault="00500CE2" w:rsidP="00580E61">
      <w:pPr>
        <w:pStyle w:val="NoSpacing"/>
        <w:rPr>
          <w:rFonts w:ascii="Arial" w:hAnsi="Arial" w:cs="Arial"/>
          <w:sz w:val="18"/>
          <w:szCs w:val="18"/>
          <w:lang w:val="sr-Cyrl-RS"/>
        </w:rPr>
      </w:pPr>
    </w:p>
    <w:p w:rsidR="001B4D0F" w:rsidRPr="00E21BA0" w:rsidRDefault="001B4D0F" w:rsidP="00972EA3">
      <w:pPr>
        <w:pStyle w:val="FootnoteText"/>
        <w:rPr>
          <w:rFonts w:ascii="Arial" w:hAnsi="Arial" w:cs="Arial"/>
          <w:sz w:val="16"/>
          <w:szCs w:val="16"/>
          <w:lang w:val="sr-Cyrl-RS"/>
        </w:rPr>
      </w:pPr>
    </w:p>
  </w:footnote>
  <w:footnote w:id="5">
    <w:p w:rsidR="0049193A" w:rsidRPr="00E617AB" w:rsidRDefault="0049193A" w:rsidP="00E617AB">
      <w:pPr>
        <w:pStyle w:val="NoSpacing"/>
        <w:rPr>
          <w:rFonts w:ascii="Arial" w:eastAsia="Times New Roman" w:hAnsi="Arial" w:cs="Arial"/>
          <w:sz w:val="18"/>
          <w:szCs w:val="18"/>
          <w:lang w:val="sr-Cyrl-RS"/>
        </w:rPr>
      </w:pPr>
      <w:r w:rsidRPr="00E617AB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E617AB">
        <w:rPr>
          <w:rFonts w:ascii="Arial" w:hAnsi="Arial" w:cs="Arial"/>
          <w:sz w:val="18"/>
          <w:szCs w:val="18"/>
          <w:lang w:val="sr-Cyrl-RS"/>
        </w:rPr>
        <w:t xml:space="preserve"> </w:t>
      </w:r>
      <w:r w:rsidR="00155E89" w:rsidRPr="00580E61">
        <w:rPr>
          <w:rFonts w:ascii="Arial" w:eastAsia="Times New Roman" w:hAnsi="Arial" w:cs="Arial"/>
          <w:sz w:val="18"/>
          <w:szCs w:val="18"/>
          <w:lang w:val="sr-Cyrl-CS"/>
        </w:rPr>
        <w:t>Гавриловић Д., Стевовић М., Пољопривредна производња</w:t>
      </w:r>
      <w:r w:rsidR="00155E89" w:rsidRPr="00580E61">
        <w:rPr>
          <w:rFonts w:ascii="Arial" w:eastAsia="Times New Roman" w:hAnsi="Arial" w:cs="Arial"/>
          <w:sz w:val="18"/>
          <w:szCs w:val="18"/>
          <w:lang w:val="sr-Cyrl-RS"/>
        </w:rPr>
        <w:t xml:space="preserve"> у РС у 2014.години, МАТ</w:t>
      </w:r>
      <w:r w:rsidR="00155E89" w:rsidRPr="00580E61">
        <w:rPr>
          <w:rFonts w:ascii="Arial" w:eastAsia="Times New Roman" w:hAnsi="Arial" w:cs="Arial"/>
          <w:sz w:val="18"/>
          <w:szCs w:val="18"/>
          <w:lang w:val="sr-Cyrl-CS"/>
        </w:rPr>
        <w:t>, бр. 244  (Април 2015)</w:t>
      </w:r>
      <w:r w:rsidR="00155E89" w:rsidRPr="00580E61">
        <w:rPr>
          <w:rFonts w:ascii="Arial" w:eastAsia="Times New Roman" w:hAnsi="Arial" w:cs="Arial"/>
          <w:sz w:val="18"/>
          <w:szCs w:val="18"/>
          <w:lang w:val="sr-Cyrl-RS"/>
        </w:rPr>
        <w:t>, стр.19</w:t>
      </w:r>
    </w:p>
  </w:footnote>
  <w:footnote w:id="6">
    <w:p w:rsidR="0064350E" w:rsidRPr="00E617AB" w:rsidRDefault="0064350E" w:rsidP="00E617AB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E617AB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E617AB">
        <w:rPr>
          <w:rFonts w:ascii="Arial" w:hAnsi="Arial" w:cs="Arial"/>
          <w:sz w:val="18"/>
          <w:szCs w:val="18"/>
          <w:lang w:val="sr-Cyrl-RS"/>
        </w:rPr>
        <w:t xml:space="preserve"> </w:t>
      </w:r>
      <w:r w:rsidR="001B4D0F" w:rsidRPr="00E617AB">
        <w:rPr>
          <w:rFonts w:ascii="Arial" w:hAnsi="Arial" w:cs="Arial"/>
          <w:sz w:val="18"/>
          <w:szCs w:val="18"/>
          <w:lang w:val="sr-Cyrl-RS"/>
        </w:rPr>
        <w:t xml:space="preserve">Исто, напомена аутора: </w:t>
      </w:r>
      <w:r w:rsidR="004B2D4E">
        <w:rPr>
          <w:rFonts w:ascii="Arial" w:hAnsi="Arial" w:cs="Arial"/>
          <w:sz w:val="18"/>
          <w:szCs w:val="18"/>
          <w:lang w:val="sr-Latn-RS"/>
        </w:rPr>
        <w:t>’’</w:t>
      </w:r>
      <w:r w:rsidRPr="00E617AB">
        <w:rPr>
          <w:rFonts w:ascii="Arial" w:eastAsia="Times New Roman" w:hAnsi="Arial" w:cs="Arial"/>
          <w:sz w:val="18"/>
          <w:szCs w:val="18"/>
          <w:lang w:val="sr-Cyrl-RS"/>
        </w:rPr>
        <w:t>Узроци у метео</w:t>
      </w:r>
      <w:r w:rsidR="001B4D0F" w:rsidRPr="00E617AB">
        <w:rPr>
          <w:rFonts w:ascii="Arial" w:eastAsia="Times New Roman" w:hAnsi="Arial" w:cs="Arial"/>
          <w:sz w:val="18"/>
          <w:szCs w:val="18"/>
          <w:lang w:val="sr-Cyrl-RS"/>
        </w:rPr>
        <w:t>ролошким и климатским променама</w:t>
      </w:r>
      <w:r w:rsidRPr="00E617AB">
        <w:rPr>
          <w:rFonts w:ascii="Arial" w:eastAsia="Times New Roman" w:hAnsi="Arial" w:cs="Arial"/>
          <w:sz w:val="18"/>
          <w:szCs w:val="18"/>
          <w:lang w:val="sr-Cyrl-RS"/>
        </w:rPr>
        <w:t xml:space="preserve">, као и </w:t>
      </w:r>
      <w:r w:rsidR="00155E89">
        <w:rPr>
          <w:rFonts w:ascii="Arial" w:eastAsia="Times New Roman" w:hAnsi="Arial" w:cs="Arial"/>
          <w:sz w:val="18"/>
          <w:szCs w:val="18"/>
          <w:lang w:val="sr-Cyrl-RS"/>
        </w:rPr>
        <w:t>ниско</w:t>
      </w:r>
      <w:r w:rsidR="00114870" w:rsidRPr="00E617AB">
        <w:rPr>
          <w:rFonts w:ascii="Arial" w:eastAsia="Times New Roman" w:hAnsi="Arial" w:cs="Arial"/>
          <w:sz w:val="18"/>
          <w:szCs w:val="18"/>
          <w:lang w:val="sr-Cyrl-RS"/>
        </w:rPr>
        <w:t>м нивоу</w:t>
      </w:r>
      <w:r w:rsidRPr="00E617AB">
        <w:rPr>
          <w:rFonts w:ascii="Arial" w:eastAsia="Times New Roman" w:hAnsi="Arial" w:cs="Arial"/>
          <w:sz w:val="18"/>
          <w:szCs w:val="18"/>
          <w:lang w:val="sr-Cyrl-RS"/>
        </w:rPr>
        <w:t xml:space="preserve"> техничко-технолошке опремљености и мера заштите</w:t>
      </w:r>
      <w:r w:rsidR="004B2D4E">
        <w:rPr>
          <w:rFonts w:ascii="Arial" w:eastAsia="Times New Roman" w:hAnsi="Arial" w:cs="Arial"/>
          <w:sz w:val="18"/>
          <w:szCs w:val="18"/>
          <w:lang w:val="sr-Latn-RS"/>
        </w:rPr>
        <w:t>.’’</w:t>
      </w:r>
      <w:r w:rsidRPr="00E617AB">
        <w:rPr>
          <w:rFonts w:ascii="Arial" w:eastAsia="Times New Roman" w:hAnsi="Arial" w:cs="Arial"/>
          <w:sz w:val="18"/>
          <w:szCs w:val="18"/>
          <w:lang w:val="sr-Cyrl-RS"/>
        </w:rPr>
        <w:t xml:space="preserve"> </w:t>
      </w:r>
    </w:p>
  </w:footnote>
  <w:footnote w:id="7">
    <w:p w:rsidR="006F0D8B" w:rsidRPr="00E617AB" w:rsidRDefault="006F0D8B" w:rsidP="00E617AB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E617AB">
        <w:rPr>
          <w:rStyle w:val="FootnoteReference"/>
          <w:rFonts w:ascii="Arial" w:hAnsi="Arial" w:cs="Arial"/>
          <w:sz w:val="18"/>
          <w:szCs w:val="18"/>
          <w:lang w:val="sr-Cyrl-RS"/>
        </w:rPr>
        <w:footnoteRef/>
      </w:r>
      <w:r w:rsidRPr="00E617AB">
        <w:rPr>
          <w:rFonts w:ascii="Arial" w:hAnsi="Arial" w:cs="Arial"/>
          <w:sz w:val="18"/>
          <w:szCs w:val="18"/>
          <w:lang w:val="sr-Cyrl-RS"/>
        </w:rPr>
        <w:t xml:space="preserve"> Исто</w:t>
      </w:r>
    </w:p>
  </w:footnote>
  <w:footnote w:id="8">
    <w:p w:rsidR="009F64FB" w:rsidRPr="00E877A8" w:rsidRDefault="009F64FB" w:rsidP="00E617AB">
      <w:pPr>
        <w:pStyle w:val="NoSpacing"/>
        <w:rPr>
          <w:rFonts w:ascii="Arial" w:eastAsia="Times New Roman" w:hAnsi="Arial" w:cs="Arial"/>
          <w:sz w:val="18"/>
          <w:szCs w:val="18"/>
          <w:lang w:val="sr-Latn-RS"/>
        </w:rPr>
      </w:pPr>
      <w:r w:rsidRPr="00E617AB">
        <w:rPr>
          <w:rStyle w:val="FootnoteReference"/>
          <w:rFonts w:ascii="Arial" w:hAnsi="Arial" w:cs="Arial"/>
          <w:sz w:val="18"/>
          <w:szCs w:val="18"/>
          <w:lang w:val="sr-Cyrl-CS"/>
        </w:rPr>
        <w:footnoteRef/>
      </w:r>
      <w:r w:rsidRPr="00E617AB">
        <w:rPr>
          <w:rFonts w:ascii="Arial" w:hAnsi="Arial" w:cs="Arial"/>
          <w:sz w:val="18"/>
          <w:szCs w:val="18"/>
          <w:lang w:val="sr-Cyrl-CS"/>
        </w:rPr>
        <w:t xml:space="preserve"> </w:t>
      </w:r>
      <w:r w:rsidR="00E617AB">
        <w:rPr>
          <w:rFonts w:ascii="Arial" w:eastAsia="Times New Roman" w:hAnsi="Arial" w:cs="Arial"/>
          <w:sz w:val="18"/>
          <w:szCs w:val="18"/>
          <w:lang w:val="sr-Cyrl-CS"/>
        </w:rPr>
        <w:t>Р</w:t>
      </w:r>
      <w:r w:rsidRPr="00E617AB">
        <w:rPr>
          <w:rFonts w:ascii="Arial" w:eastAsia="Times New Roman" w:hAnsi="Arial" w:cs="Arial"/>
          <w:sz w:val="18"/>
          <w:szCs w:val="18"/>
          <w:lang w:val="sr-Cyrl-CS"/>
        </w:rPr>
        <w:t xml:space="preserve">аст извоза у 2014. </w:t>
      </w:r>
      <w:r w:rsidR="008C4609" w:rsidRPr="00E617AB">
        <w:rPr>
          <w:rFonts w:ascii="Arial" w:eastAsia="Times New Roman" w:hAnsi="Arial" w:cs="Arial"/>
          <w:sz w:val="18"/>
          <w:szCs w:val="18"/>
          <w:lang w:val="sr-Cyrl-CS"/>
        </w:rPr>
        <w:t xml:space="preserve">години више од </w:t>
      </w:r>
      <w:r w:rsidRPr="00E617AB">
        <w:rPr>
          <w:rFonts w:ascii="Arial" w:eastAsia="Times New Roman" w:hAnsi="Arial" w:cs="Arial"/>
          <w:sz w:val="18"/>
          <w:szCs w:val="18"/>
          <w:lang w:val="sr-Cyrl-CS"/>
        </w:rPr>
        <w:t xml:space="preserve">13% и суфицит од око 850 милиона евра потврђују велике потенцијале наше пољопривреде и прехрамбене индустрије </w:t>
      </w:r>
      <w:r w:rsidR="00E877A8">
        <w:rPr>
          <w:rFonts w:ascii="Arial" w:eastAsia="Times New Roman" w:hAnsi="Arial" w:cs="Arial"/>
          <w:sz w:val="18"/>
          <w:szCs w:val="18"/>
          <w:lang w:val="sr-Latn-RS"/>
        </w:rPr>
        <w:t>(</w:t>
      </w:r>
      <w:r w:rsidR="00E877A8">
        <w:rPr>
          <w:rFonts w:ascii="Arial" w:eastAsia="Times New Roman" w:hAnsi="Arial" w:cs="Arial"/>
          <w:sz w:val="18"/>
          <w:szCs w:val="18"/>
          <w:lang w:val="sr-Cyrl-CS"/>
        </w:rPr>
        <w:t xml:space="preserve"> РЗС, јун 2015</w:t>
      </w:r>
      <w:r w:rsidR="00E877A8">
        <w:rPr>
          <w:rFonts w:ascii="Arial" w:eastAsia="Times New Roman" w:hAnsi="Arial" w:cs="Arial"/>
          <w:sz w:val="18"/>
          <w:szCs w:val="18"/>
          <w:lang w:val="sr-Latn-RS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B20"/>
    <w:multiLevelType w:val="multilevel"/>
    <w:tmpl w:val="3DEA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95151"/>
    <w:multiLevelType w:val="hybridMultilevel"/>
    <w:tmpl w:val="8528E2D4"/>
    <w:lvl w:ilvl="0" w:tplc="4DB0DF0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0DB"/>
    <w:rsid w:val="000461CD"/>
    <w:rsid w:val="0005275D"/>
    <w:rsid w:val="00055493"/>
    <w:rsid w:val="00065FB6"/>
    <w:rsid w:val="000751CA"/>
    <w:rsid w:val="000C7B98"/>
    <w:rsid w:val="00114870"/>
    <w:rsid w:val="00155E89"/>
    <w:rsid w:val="001B4D0F"/>
    <w:rsid w:val="001F2285"/>
    <w:rsid w:val="001F7D33"/>
    <w:rsid w:val="00234309"/>
    <w:rsid w:val="00257E3D"/>
    <w:rsid w:val="00280460"/>
    <w:rsid w:val="00284279"/>
    <w:rsid w:val="002F39AE"/>
    <w:rsid w:val="00344FB9"/>
    <w:rsid w:val="00361A13"/>
    <w:rsid w:val="003A52F2"/>
    <w:rsid w:val="003B68D9"/>
    <w:rsid w:val="0041468A"/>
    <w:rsid w:val="0044536D"/>
    <w:rsid w:val="0049193A"/>
    <w:rsid w:val="004B2D4E"/>
    <w:rsid w:val="004C2767"/>
    <w:rsid w:val="004D5F6F"/>
    <w:rsid w:val="00500CE2"/>
    <w:rsid w:val="00512230"/>
    <w:rsid w:val="00552EAD"/>
    <w:rsid w:val="00554A94"/>
    <w:rsid w:val="00580E61"/>
    <w:rsid w:val="005B7E27"/>
    <w:rsid w:val="005F29F7"/>
    <w:rsid w:val="00624BCC"/>
    <w:rsid w:val="0064350E"/>
    <w:rsid w:val="00682C6B"/>
    <w:rsid w:val="00684DAF"/>
    <w:rsid w:val="006A0C40"/>
    <w:rsid w:val="006B4CEA"/>
    <w:rsid w:val="006D5BBB"/>
    <w:rsid w:val="006F0D8B"/>
    <w:rsid w:val="006F4B72"/>
    <w:rsid w:val="00705CC5"/>
    <w:rsid w:val="0071363A"/>
    <w:rsid w:val="00724548"/>
    <w:rsid w:val="007812AC"/>
    <w:rsid w:val="00783630"/>
    <w:rsid w:val="007A48CC"/>
    <w:rsid w:val="007A55BC"/>
    <w:rsid w:val="007D1137"/>
    <w:rsid w:val="007E3B7B"/>
    <w:rsid w:val="00822F5C"/>
    <w:rsid w:val="008445D0"/>
    <w:rsid w:val="008B43D2"/>
    <w:rsid w:val="008C4609"/>
    <w:rsid w:val="008D4F37"/>
    <w:rsid w:val="009002E8"/>
    <w:rsid w:val="00972EA3"/>
    <w:rsid w:val="00995439"/>
    <w:rsid w:val="009A653F"/>
    <w:rsid w:val="009C2AD2"/>
    <w:rsid w:val="009E31DE"/>
    <w:rsid w:val="009F64FB"/>
    <w:rsid w:val="00A011E6"/>
    <w:rsid w:val="00A65122"/>
    <w:rsid w:val="00B14C6D"/>
    <w:rsid w:val="00B35B66"/>
    <w:rsid w:val="00B82C17"/>
    <w:rsid w:val="00B95789"/>
    <w:rsid w:val="00BF795A"/>
    <w:rsid w:val="00C02BD9"/>
    <w:rsid w:val="00C045E8"/>
    <w:rsid w:val="00C355AE"/>
    <w:rsid w:val="00C43345"/>
    <w:rsid w:val="00C52AA3"/>
    <w:rsid w:val="00C54752"/>
    <w:rsid w:val="00CC39B6"/>
    <w:rsid w:val="00CD468E"/>
    <w:rsid w:val="00D05F26"/>
    <w:rsid w:val="00D15C09"/>
    <w:rsid w:val="00D47AE6"/>
    <w:rsid w:val="00D54103"/>
    <w:rsid w:val="00D550DB"/>
    <w:rsid w:val="00D716A6"/>
    <w:rsid w:val="00DD1986"/>
    <w:rsid w:val="00E02130"/>
    <w:rsid w:val="00E21BA0"/>
    <w:rsid w:val="00E617AB"/>
    <w:rsid w:val="00E877A8"/>
    <w:rsid w:val="00EA53F9"/>
    <w:rsid w:val="00EF1041"/>
    <w:rsid w:val="00F316C8"/>
    <w:rsid w:val="00F52FCF"/>
    <w:rsid w:val="00F5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DB"/>
  </w:style>
  <w:style w:type="paragraph" w:styleId="Heading1">
    <w:name w:val="heading 1"/>
    <w:basedOn w:val="Normal"/>
    <w:next w:val="Normal"/>
    <w:link w:val="Heading1Char"/>
    <w:uiPriority w:val="9"/>
    <w:qFormat/>
    <w:rsid w:val="0071363A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0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55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5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0DB"/>
  </w:style>
  <w:style w:type="paragraph" w:styleId="Footer">
    <w:name w:val="footer"/>
    <w:basedOn w:val="Normal"/>
    <w:link w:val="FooterChar"/>
    <w:uiPriority w:val="99"/>
    <w:unhideWhenUsed/>
    <w:rsid w:val="00D5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0DB"/>
  </w:style>
  <w:style w:type="paragraph" w:styleId="ListParagraph">
    <w:name w:val="List Paragraph"/>
    <w:basedOn w:val="Normal"/>
    <w:uiPriority w:val="34"/>
    <w:qFormat/>
    <w:rsid w:val="00B82C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617A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617AB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7AB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E617AB"/>
  </w:style>
  <w:style w:type="character" w:customStyle="1" w:styleId="Heading1Char">
    <w:name w:val="Heading 1 Char"/>
    <w:basedOn w:val="DefaultParagraphFont"/>
    <w:link w:val="Heading1"/>
    <w:uiPriority w:val="9"/>
    <w:rsid w:val="0071363A"/>
    <w:rPr>
      <w:rFonts w:ascii="Arial" w:eastAsiaTheme="majorEastAsia" w:hAnsi="Arial" w:cstheme="majorBidi"/>
      <w:bCs/>
      <w:sz w:val="2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21BA0"/>
    <w:pPr>
      <w:spacing w:after="100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0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0DB"/>
  </w:style>
  <w:style w:type="paragraph" w:styleId="Footer">
    <w:name w:val="footer"/>
    <w:basedOn w:val="Normal"/>
    <w:link w:val="FooterChar"/>
    <w:uiPriority w:val="99"/>
    <w:unhideWhenUsed/>
    <w:rsid w:val="00D5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0DB"/>
  </w:style>
  <w:style w:type="paragraph" w:styleId="ListParagraph">
    <w:name w:val="List Paragraph"/>
    <w:basedOn w:val="Normal"/>
    <w:uiPriority w:val="34"/>
    <w:qFormat/>
    <w:rsid w:val="00B8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1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ebrzs.stat.gov.rs/WebSite/Public/PageView.aspx?pKey=1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rlament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arlament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trazivanja@parlament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E6EB-98FE-485C-827D-02A4F754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Prijic</dc:creator>
  <cp:lastModifiedBy>Tanja Ostojic</cp:lastModifiedBy>
  <cp:revision>8</cp:revision>
  <dcterms:created xsi:type="dcterms:W3CDTF">2015-07-20T12:18:00Z</dcterms:created>
  <dcterms:modified xsi:type="dcterms:W3CDTF">2015-07-24T13:35:00Z</dcterms:modified>
</cp:coreProperties>
</file>